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105911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2E62C2">
        <w:t>Great Academy Ashton</w:t>
      </w:r>
      <w:r w:rsidR="00C11EB4">
        <w:t>]</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A5873EE" w:rsidR="002940F3" w:rsidRDefault="00BB38F5" w:rsidP="00C31636">
            <w:pPr>
              <w:pStyle w:val="TableRow"/>
              <w:ind w:left="0" w:right="0"/>
            </w:pPr>
            <w:r>
              <w:t>1298</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6BC471C" w:rsidR="002940F3" w:rsidRDefault="00BB38F5" w:rsidP="00C31636">
            <w:pPr>
              <w:pStyle w:val="TableRow"/>
              <w:ind w:left="0" w:right="0"/>
            </w:pPr>
            <w:r>
              <w:t>47%</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36086EE" w:rsidR="002940F3" w:rsidRDefault="00C42D62" w:rsidP="00C31636">
            <w:pPr>
              <w:pStyle w:val="TableRow"/>
              <w:ind w:left="0" w:right="0"/>
            </w:pPr>
            <w:r>
              <w:t>2021-2022 to 2024-2025</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2DF040C" w:rsidR="002940F3" w:rsidRDefault="00C42D62"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6A7D8BF" w:rsidR="002940F3" w:rsidRDefault="00C42D62" w:rsidP="00C31636">
            <w:pPr>
              <w:pStyle w:val="TableRow"/>
              <w:ind w:left="0" w:right="0"/>
            </w:pPr>
            <w:r>
              <w:t>December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EEF6474" w:rsidR="002940F3" w:rsidRDefault="00F6765F" w:rsidP="00C31636">
            <w:pPr>
              <w:pStyle w:val="TableRow"/>
              <w:ind w:left="0" w:right="0"/>
            </w:pPr>
            <w:r w:rsidRPr="00F6765F">
              <w:t>David Waugh - Principal</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FC26499" w:rsidR="002940F3" w:rsidRDefault="00A960E7" w:rsidP="00C31636">
            <w:pPr>
              <w:pStyle w:val="TableRow"/>
              <w:ind w:left="0" w:right="0"/>
            </w:pPr>
            <w:r w:rsidRPr="00A960E7">
              <w:t>Rebecca Holroyd - Assistant Principal</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014236D" w:rsidR="002940F3" w:rsidRDefault="00C0082D" w:rsidP="00C31636">
            <w:pPr>
              <w:pStyle w:val="TableRow"/>
              <w:ind w:left="0" w:right="0"/>
            </w:pPr>
            <w:r>
              <w:t>Umesh Patel</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12E2884" w:rsidR="00E66558" w:rsidRDefault="009D71E8" w:rsidP="00C31636">
            <w:pPr>
              <w:pStyle w:val="TableRow"/>
              <w:ind w:left="0" w:right="0"/>
            </w:pPr>
            <w:r>
              <w:t>£</w:t>
            </w:r>
            <w:r w:rsidR="00CD715D">
              <w:t>616,350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2D4F03F" w:rsidR="00E66558" w:rsidRDefault="009D71E8" w:rsidP="00C31636">
            <w:pPr>
              <w:pStyle w:val="TableRow"/>
              <w:ind w:left="0" w:right="0"/>
            </w:pPr>
            <w:r>
              <w:t>£</w:t>
            </w:r>
            <w:r w:rsidR="00CD715D">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E967FC5" w:rsidR="00E66558" w:rsidRDefault="009D71E8" w:rsidP="00C31636">
            <w:pPr>
              <w:pStyle w:val="TableRow"/>
              <w:ind w:left="0" w:right="0"/>
            </w:pPr>
            <w:r>
              <w:t>£</w:t>
            </w:r>
            <w:r w:rsidR="00CD715D">
              <w:t>616,350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FA3C0" w14:textId="77777777" w:rsidR="00CF7806" w:rsidRPr="00717FC1" w:rsidRDefault="00CF7806" w:rsidP="00CF7806">
            <w:pPr>
              <w:spacing w:before="120"/>
            </w:pPr>
            <w:r w:rsidRPr="00717FC1">
              <w:t>In alignment with the Department for Education's rationale for the Pupil Premium Grant and in acknowledgment of the challenges our pupils encounter, Great Academy Ashton (GAA) is committed to assisting our disadvantaged pupils. This commitment is manifested through the execution of high-calibre, quality first teaching, focused interventions, and inclusive school-wide programs designed to enhance academic proficiency particularly in literacy, pastoral care, attendance, and overall welfare strategies.</w:t>
            </w:r>
          </w:p>
          <w:p w14:paraId="1D3A604B" w14:textId="77777777" w:rsidR="00CF7806" w:rsidRPr="00717FC1" w:rsidRDefault="00CF7806" w:rsidP="00CF7806">
            <w:pPr>
              <w:spacing w:before="120"/>
            </w:pPr>
            <w:r w:rsidRPr="00717FC1">
              <w:t>At GAA, we are dedicated to helping each pupil reach their full potential. We achieve this by offering an ambitious curriculum taught through outstanding daily classroom instruction. Our rigorous quality-assurance systems across all areas of provision are carefully used to pinpoint and overcome any obstacles to learning.</w:t>
            </w:r>
          </w:p>
          <w:p w14:paraId="2BBA402F" w14:textId="77777777" w:rsidR="00CF7806" w:rsidRPr="00717FC1" w:rsidRDefault="00CF7806" w:rsidP="00CF7806">
            <w:pPr>
              <w:spacing w:before="120"/>
            </w:pPr>
            <w:r w:rsidRPr="00717FC1">
              <w:t>We firmly hold the conviction that our pupil premium strategy is finely tailored to cater to the specific needs of our pupils and the broader school community. This strategy has been developed on the foundation of well-informed research and best practices.</w:t>
            </w:r>
          </w:p>
          <w:p w14:paraId="783FFEE6" w14:textId="77777777" w:rsidR="00CF7806" w:rsidRPr="00717FC1" w:rsidRDefault="00CF7806" w:rsidP="00CF7806">
            <w:pPr>
              <w:spacing w:before="120"/>
            </w:pPr>
            <w:r w:rsidRPr="00717FC1">
              <w:t>Moreover, our strategy is fortified by our unwavering dedication to four overarching whole school priorities:</w:t>
            </w:r>
          </w:p>
          <w:p w14:paraId="2E5E5543" w14:textId="77777777" w:rsidR="00CF7806" w:rsidRPr="00717FC1" w:rsidRDefault="00CF7806" w:rsidP="00CF7806">
            <w:pPr>
              <w:spacing w:before="120"/>
            </w:pPr>
            <w:r w:rsidRPr="00717FC1">
              <w:t>1.</w:t>
            </w:r>
            <w:r w:rsidRPr="00717FC1">
              <w:tab/>
              <w:t>Assessment, embedding formative assessment</w:t>
            </w:r>
          </w:p>
          <w:p w14:paraId="73F9B3B8" w14:textId="77777777" w:rsidR="00CF7806" w:rsidRPr="00717FC1" w:rsidRDefault="00CF7806" w:rsidP="00CF7806">
            <w:pPr>
              <w:spacing w:before="120"/>
            </w:pPr>
            <w:r w:rsidRPr="00717FC1">
              <w:t>2.</w:t>
            </w:r>
            <w:r w:rsidRPr="00717FC1">
              <w:tab/>
              <w:t>High expectations, behaviour culture and curriculum</w:t>
            </w:r>
          </w:p>
          <w:p w14:paraId="4D708584" w14:textId="77777777" w:rsidR="00CF7806" w:rsidRPr="00717FC1" w:rsidRDefault="00CF7806" w:rsidP="00CF7806">
            <w:pPr>
              <w:spacing w:before="120"/>
            </w:pPr>
            <w:r w:rsidRPr="00717FC1">
              <w:t>3.</w:t>
            </w:r>
            <w:r w:rsidRPr="00717FC1">
              <w:tab/>
              <w:t>Promoting reading and disciplinary literacy</w:t>
            </w:r>
          </w:p>
          <w:p w14:paraId="70BEF38A" w14:textId="77777777" w:rsidR="00CF7806" w:rsidRPr="00717FC1" w:rsidRDefault="00CF7806" w:rsidP="00CF7806">
            <w:pPr>
              <w:spacing w:before="120"/>
            </w:pPr>
            <w:r w:rsidRPr="00717FC1">
              <w:t>4.</w:t>
            </w:r>
            <w:r w:rsidRPr="00717FC1">
              <w:tab/>
              <w:t>Intelligently designed use of effective pedagogical tools</w:t>
            </w:r>
          </w:p>
          <w:p w14:paraId="4036302B" w14:textId="77777777" w:rsidR="00CF7806" w:rsidRPr="00717FC1" w:rsidRDefault="00CF7806" w:rsidP="00CF7806">
            <w:pPr>
              <w:spacing w:before="120"/>
            </w:pPr>
            <w:r w:rsidRPr="00717FC1">
              <w:t>GAA serves a highly diverse range of communities, with our catchment area encompassing a wide spectrum of deprivation levels. We cater to both some of the poorest areas in the UK, as evidenced by national data, and areas with minimal deprivation. The distribution of pupil premium across the year groups is as follows; Year 7 51%, Year 8 52% Year 9 40%, Year 10 49%, Year 11 43%. It is imperative to acknowledge that the Pupil Premium cohort at GAA constitutes almost 50% of our pupil body, therefore, addressing the challenges identified not only benefits our disadvantaged pupils but also enhances the overall educational experience for all pupils at GAA.</w:t>
            </w:r>
          </w:p>
          <w:p w14:paraId="09109D1F" w14:textId="77777777" w:rsidR="00CF7806" w:rsidRPr="00717FC1" w:rsidRDefault="00CF7806" w:rsidP="00CF7806">
            <w:pPr>
              <w:spacing w:before="120"/>
            </w:pPr>
            <w:r w:rsidRPr="00717FC1">
              <w:t xml:space="preserve">Furthermore, we firmly believe that our strategy will facilitate the promotion of cultural capital, encourage high participation rates, and create an inclusive and celebratory </w:t>
            </w:r>
            <w:r w:rsidRPr="00717FC1">
              <w:lastRenderedPageBreak/>
              <w:t>atmosphere for all pupils. It is worth noting that some of our most capable and high achieving pupils are part of the pupil premium cohort.</w:t>
            </w:r>
          </w:p>
          <w:p w14:paraId="2A7D54E9" w14:textId="52D4BC30" w:rsidR="00E66558" w:rsidRPr="00CF7806" w:rsidRDefault="00CF7806" w:rsidP="00CF7806">
            <w:pPr>
              <w:rPr>
                <w:i/>
                <w:iCs/>
              </w:rPr>
            </w:pPr>
            <w:r w:rsidRPr="00717FC1">
              <w:t xml:space="preserve">Our strategies are grounded in evidence and are aligned with the key principles outlined in the "Effective Guide </w:t>
            </w:r>
            <w:r w:rsidR="0069498B">
              <w:t>to</w:t>
            </w:r>
            <w:r w:rsidRPr="00717FC1">
              <w:t xml:space="preserve"> </w:t>
            </w:r>
            <w:r w:rsidR="0069498B">
              <w:t>t</w:t>
            </w:r>
            <w:r w:rsidRPr="00717FC1">
              <w:t>he Pupil Premium" from the Education Endowment Foundation (EEF).</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717FC1" w:rsidRDefault="009D71E8" w:rsidP="00C31636">
            <w:pPr>
              <w:pStyle w:val="TableRow"/>
              <w:ind w:left="0" w:right="0"/>
            </w:pPr>
            <w:r w:rsidRPr="00717FC1">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4DC43" w14:textId="77777777" w:rsidR="001379CE" w:rsidRPr="00717FC1" w:rsidRDefault="001379CE" w:rsidP="001379CE">
            <w:pPr>
              <w:pStyle w:val="TableRowCentered"/>
              <w:ind w:left="0"/>
              <w:jc w:val="left"/>
              <w:rPr>
                <w:b/>
                <w:bCs/>
                <w:szCs w:val="24"/>
                <w:u w:val="single"/>
              </w:rPr>
            </w:pPr>
            <w:r w:rsidRPr="00717FC1">
              <w:rPr>
                <w:b/>
                <w:bCs/>
                <w:szCs w:val="24"/>
                <w:u w:val="single"/>
              </w:rPr>
              <w:t xml:space="preserve">Overall Attainment and Progress.  </w:t>
            </w:r>
          </w:p>
          <w:p w14:paraId="2A7D54F1" w14:textId="2592F3FF" w:rsidR="00E66558" w:rsidRPr="00717FC1" w:rsidRDefault="001379CE" w:rsidP="001379CE">
            <w:pPr>
              <w:pStyle w:val="TableRowCentered"/>
              <w:ind w:left="0" w:right="0"/>
              <w:jc w:val="left"/>
              <w:rPr>
                <w:szCs w:val="24"/>
              </w:rPr>
            </w:pPr>
            <w:r w:rsidRPr="00717FC1">
              <w:rPr>
                <w:szCs w:val="24"/>
              </w:rPr>
              <w:t>Pupil premium pupils nationally achieve a lower level of attainment and make less progress than non-pupil premium pupils. This is also currently the case at GAA.  Pupil premium pupils in 2023/24 progress measures indicate that pupil premium pupils on average achieved half a grade per subject less progress than non-pupil premium pupils.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717FC1" w:rsidRDefault="009D71E8" w:rsidP="00C31636">
            <w:pPr>
              <w:pStyle w:val="TableRow"/>
              <w:ind w:left="0" w:right="0"/>
            </w:pPr>
            <w:r w:rsidRPr="00717FC1">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64B43" w14:textId="77777777" w:rsidR="001754EA" w:rsidRPr="00717FC1" w:rsidRDefault="001754EA" w:rsidP="001754EA">
            <w:pPr>
              <w:pStyle w:val="TableRowCentered"/>
              <w:ind w:left="0"/>
              <w:jc w:val="left"/>
              <w:rPr>
                <w:b/>
                <w:bCs/>
                <w:szCs w:val="24"/>
                <w:u w:val="single"/>
              </w:rPr>
            </w:pPr>
            <w:r w:rsidRPr="00717FC1">
              <w:rPr>
                <w:b/>
                <w:bCs/>
                <w:szCs w:val="24"/>
                <w:u w:val="single"/>
              </w:rPr>
              <w:t xml:space="preserve">Reading and Disciplinary Literacy. </w:t>
            </w:r>
          </w:p>
          <w:p w14:paraId="70B22400" w14:textId="77777777" w:rsidR="001754EA" w:rsidRPr="00717FC1" w:rsidRDefault="001754EA" w:rsidP="001754EA">
            <w:pPr>
              <w:pStyle w:val="TableRowCentered"/>
              <w:ind w:left="0"/>
              <w:jc w:val="left"/>
              <w:rPr>
                <w:szCs w:val="24"/>
              </w:rPr>
            </w:pPr>
            <w:r w:rsidRPr="00717FC1">
              <w:rPr>
                <w:szCs w:val="24"/>
              </w:rPr>
              <w:t>Nationally low reading scores are recognised as one of the biggest challenges facing pupil premium pupil academic achievements. This national picture is mirrored at Great Academy Ashton, on entry pupil premium pupils in Year 7 have a reading standardised age score (NGRT) of 5.3 below non-pupil premium pupils, closing this gap is a key priority for the school.</w:t>
            </w:r>
          </w:p>
          <w:p w14:paraId="7D1C0BF5" w14:textId="77777777" w:rsidR="001754EA" w:rsidRPr="00717FC1" w:rsidRDefault="001754EA" w:rsidP="001754EA">
            <w:pPr>
              <w:pStyle w:val="TableRowCentered"/>
              <w:rPr>
                <w:szCs w:val="24"/>
              </w:rPr>
            </w:pPr>
          </w:p>
          <w:p w14:paraId="2A7D54F4" w14:textId="3803AEDD" w:rsidR="00E66558" w:rsidRPr="00717FC1" w:rsidRDefault="001754EA" w:rsidP="001754EA">
            <w:pPr>
              <w:pStyle w:val="TableRowCentered"/>
              <w:ind w:left="0" w:right="0"/>
              <w:jc w:val="left"/>
              <w:rPr>
                <w:szCs w:val="24"/>
              </w:rPr>
            </w:pPr>
            <w:r w:rsidRPr="00717FC1">
              <w:rPr>
                <w:szCs w:val="24"/>
              </w:rPr>
              <w:t>In line with national trends a significant proportion of pupil premium pupils struggle to articulate their learning (subject specific) and explain the world around them (vocabulary gap). Pupil voice indicates that a significant proportion of pupil premium pupils do not have access to books at home and therefore do not independently engage with reading across a variety of texts and purposes.  Our range of whole school strategies are intended to address this gap.</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717FC1" w:rsidRDefault="009D71E8" w:rsidP="00C31636">
            <w:pPr>
              <w:pStyle w:val="TableRow"/>
              <w:ind w:left="0" w:right="0"/>
            </w:pPr>
            <w:r w:rsidRPr="00717FC1">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C9F25" w14:textId="086DD442" w:rsidR="006E2499" w:rsidRPr="00717FC1" w:rsidRDefault="006E2499" w:rsidP="006E2499">
            <w:pPr>
              <w:pStyle w:val="TableRowCentered"/>
              <w:ind w:left="0"/>
              <w:jc w:val="left"/>
              <w:rPr>
                <w:b/>
                <w:bCs/>
                <w:szCs w:val="24"/>
                <w:u w:val="single"/>
              </w:rPr>
            </w:pPr>
            <w:r w:rsidRPr="00717FC1">
              <w:rPr>
                <w:b/>
                <w:bCs/>
                <w:szCs w:val="24"/>
                <w:u w:val="single"/>
              </w:rPr>
              <w:t xml:space="preserve">Culture and Connectivity to Education.  </w:t>
            </w:r>
          </w:p>
          <w:p w14:paraId="2A7D54F7" w14:textId="5692116D" w:rsidR="00E66558" w:rsidRPr="00717FC1" w:rsidRDefault="006E2499" w:rsidP="006E2499">
            <w:pPr>
              <w:pStyle w:val="TableRowCentered"/>
              <w:ind w:left="0" w:right="0"/>
              <w:jc w:val="left"/>
              <w:rPr>
                <w:szCs w:val="24"/>
              </w:rPr>
            </w:pPr>
            <w:r w:rsidRPr="00717FC1">
              <w:rPr>
                <w:szCs w:val="24"/>
              </w:rPr>
              <w:t xml:space="preserve">Internal pupil voice and national PASS survey data have helped us to identify a cohort of pupil premium pupils felt "disconnected" to aspects of school life. This is understood to impact upon confidence in school, attendance, engagement in lessons. A key theme from pupil voice activity (2022) suggested that a wider range of exciting opportunities / affordable cultural experiences was required. Leaders have therefore reviewed and extended the range of enrichment activity on offer and are encouraging take up so that PP pupils are well represented in key activities.  Data suggests there remains for pupil premium pupils a noticeable reluctance to re-engage to pre-pandemic levels with the full </w:t>
            </w:r>
            <w:r w:rsidRPr="00717FC1">
              <w:rPr>
                <w:szCs w:val="24"/>
              </w:rPr>
              <w:lastRenderedPageBreak/>
              <w:t>Academy offer.  A range of targeted approaches to invite pupil premium pupils to extra-curricular activity is currently being piloted to improve uptake.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717FC1" w:rsidRDefault="009D71E8" w:rsidP="00C31636">
            <w:pPr>
              <w:pStyle w:val="TableRow"/>
              <w:ind w:left="0" w:right="0"/>
            </w:pPr>
            <w:r w:rsidRPr="00717FC1">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869F3" w14:textId="77777777" w:rsidR="004E7429" w:rsidRPr="00717FC1" w:rsidRDefault="004E7429" w:rsidP="004E7429">
            <w:pPr>
              <w:pStyle w:val="TableRowCentered"/>
              <w:ind w:left="0"/>
              <w:jc w:val="left"/>
              <w:rPr>
                <w:b/>
                <w:bCs/>
                <w:iCs/>
                <w:szCs w:val="24"/>
                <w:u w:val="single"/>
              </w:rPr>
            </w:pPr>
            <w:r w:rsidRPr="00717FC1">
              <w:rPr>
                <w:b/>
                <w:bCs/>
                <w:iCs/>
                <w:szCs w:val="24"/>
                <w:u w:val="single"/>
              </w:rPr>
              <w:t>Mental Health and Wellbeing.</w:t>
            </w:r>
          </w:p>
          <w:p w14:paraId="2A7D54FA" w14:textId="6635751A" w:rsidR="00E66558" w:rsidRPr="00717FC1" w:rsidRDefault="004E7429" w:rsidP="004E7429">
            <w:pPr>
              <w:pStyle w:val="TableRowCentered"/>
              <w:ind w:left="0" w:right="0"/>
              <w:jc w:val="left"/>
              <w:rPr>
                <w:iCs/>
                <w:szCs w:val="24"/>
              </w:rPr>
            </w:pPr>
            <w:r w:rsidRPr="00717FC1">
              <w:rPr>
                <w:iCs/>
                <w:szCs w:val="24"/>
              </w:rPr>
              <w:t>Nationally, post pandemic, there has been an increase in mental health and wellbeing need. Great Academy Ashton is continuing to mirror this trend with a rise in referrals for mental health, well-being concerns and Emotional Based School Avoidance (EBSA) cases. As part of our pupil wellbeing strategy, we have now expanded our capacity to support pupils internally, meaning that needs are now identified and addressed proactively at a lower tier of need. Despite this, a number of our pupil premium cohort continue to require bespoke support – for example those with social and emotional challenges are overrepresented within the cohort.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717FC1" w:rsidRDefault="009D71E8" w:rsidP="00C31636">
            <w:pPr>
              <w:pStyle w:val="TableRow"/>
              <w:ind w:left="0" w:right="0"/>
            </w:pPr>
            <w:bookmarkStart w:id="16" w:name="_Toc443397160"/>
            <w:r w:rsidRPr="00717FC1">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7F7DA" w14:textId="77777777" w:rsidR="00021DB0" w:rsidRPr="00717FC1" w:rsidRDefault="00021DB0" w:rsidP="00021DB0">
            <w:pPr>
              <w:pStyle w:val="TableRowCentered"/>
              <w:ind w:left="0"/>
              <w:jc w:val="left"/>
              <w:rPr>
                <w:b/>
                <w:bCs/>
                <w:iCs/>
                <w:szCs w:val="24"/>
                <w:u w:val="single"/>
              </w:rPr>
            </w:pPr>
            <w:r w:rsidRPr="00717FC1">
              <w:rPr>
                <w:b/>
                <w:bCs/>
                <w:iCs/>
                <w:szCs w:val="24"/>
                <w:u w:val="single"/>
              </w:rPr>
              <w:t xml:space="preserve">Behaviour </w:t>
            </w:r>
          </w:p>
          <w:p w14:paraId="67C4082A" w14:textId="07882B88" w:rsidR="00B35921" w:rsidRPr="00B35921" w:rsidRDefault="00B35921" w:rsidP="00B35921">
            <w:pPr>
              <w:pStyle w:val="paragraph"/>
              <w:spacing w:before="0" w:beforeAutospacing="0" w:after="0" w:afterAutospacing="0"/>
              <w:jc w:val="both"/>
              <w:textAlignment w:val="baseline"/>
              <w:rPr>
                <w:rFonts w:ascii="Arial" w:hAnsi="Arial" w:cs="Arial"/>
                <w:color w:val="0D0D0D"/>
              </w:rPr>
            </w:pPr>
            <w:r w:rsidRPr="00B35921">
              <w:rPr>
                <w:rStyle w:val="normaltextrun"/>
                <w:rFonts w:ascii="Arial" w:hAnsi="Arial" w:cs="Arial"/>
                <w:color w:val="0B0C0C"/>
              </w:rPr>
              <w:t xml:space="preserve">The national suspension rate for FSM eligible pupils is almost four times that for </w:t>
            </w:r>
            <w:r w:rsidR="006D032A" w:rsidRPr="00B35921">
              <w:rPr>
                <w:rStyle w:val="normaltextrun"/>
                <w:rFonts w:ascii="Arial" w:hAnsi="Arial" w:cs="Arial"/>
                <w:color w:val="0B0C0C"/>
              </w:rPr>
              <w:t>non-FSM</w:t>
            </w:r>
            <w:r w:rsidRPr="00B35921">
              <w:rPr>
                <w:rStyle w:val="normaltextrun"/>
                <w:rFonts w:ascii="Arial" w:hAnsi="Arial" w:cs="Arial"/>
                <w:color w:val="0B0C0C"/>
              </w:rPr>
              <w:t xml:space="preserve"> eligible pupils; 21.70</w:t>
            </w:r>
            <w:r w:rsidR="00740211">
              <w:rPr>
                <w:rStyle w:val="normaltextrun"/>
                <w:rFonts w:ascii="Arial" w:hAnsi="Arial" w:cs="Arial"/>
                <w:color w:val="0B0C0C"/>
              </w:rPr>
              <w:t>%</w:t>
            </w:r>
            <w:r w:rsidRPr="00B35921">
              <w:rPr>
                <w:rStyle w:val="normaltextrun"/>
                <w:rFonts w:ascii="Arial" w:hAnsi="Arial" w:cs="Arial"/>
                <w:color w:val="0B0C0C"/>
              </w:rPr>
              <w:t xml:space="preserve"> compared to 5.47</w:t>
            </w:r>
            <w:r w:rsidR="00740211">
              <w:rPr>
                <w:rStyle w:val="normaltextrun"/>
                <w:rFonts w:ascii="Arial" w:hAnsi="Arial" w:cs="Arial"/>
                <w:color w:val="0B0C0C"/>
              </w:rPr>
              <w:t>%</w:t>
            </w:r>
            <w:r w:rsidRPr="00B35921">
              <w:rPr>
                <w:rStyle w:val="normaltextrun"/>
                <w:rFonts w:ascii="Arial" w:hAnsi="Arial" w:cs="Arial"/>
                <w:color w:val="0B0C0C"/>
              </w:rPr>
              <w:t xml:space="preserve">. The permanent exclusion rate for FSM eligible pupils is almost five times the rate for </w:t>
            </w:r>
            <w:r w:rsidR="006D032A" w:rsidRPr="00B35921">
              <w:rPr>
                <w:rStyle w:val="normaltextrun"/>
                <w:rFonts w:ascii="Arial" w:hAnsi="Arial" w:cs="Arial"/>
                <w:color w:val="0B0C0C"/>
              </w:rPr>
              <w:t>non-FSM</w:t>
            </w:r>
            <w:r w:rsidRPr="00B35921">
              <w:rPr>
                <w:rStyle w:val="normaltextrun"/>
                <w:rFonts w:ascii="Arial" w:hAnsi="Arial" w:cs="Arial"/>
                <w:color w:val="0B0C0C"/>
              </w:rPr>
              <w:t xml:space="preserve"> eligible; 0.29</w:t>
            </w:r>
            <w:r w:rsidR="00740211">
              <w:rPr>
                <w:rStyle w:val="normaltextrun"/>
                <w:rFonts w:ascii="Arial" w:hAnsi="Arial" w:cs="Arial"/>
                <w:color w:val="0B0C0C"/>
              </w:rPr>
              <w:t>%</w:t>
            </w:r>
            <w:r w:rsidRPr="00B35921">
              <w:rPr>
                <w:rStyle w:val="normaltextrun"/>
                <w:rFonts w:ascii="Arial" w:hAnsi="Arial" w:cs="Arial"/>
                <w:color w:val="0B0C0C"/>
              </w:rPr>
              <w:t xml:space="preserve"> compared 0.06</w:t>
            </w:r>
            <w:r w:rsidR="00740211">
              <w:rPr>
                <w:rStyle w:val="normaltextrun"/>
                <w:rFonts w:ascii="Arial" w:hAnsi="Arial" w:cs="Arial"/>
                <w:color w:val="0B0C0C"/>
              </w:rPr>
              <w:t>%</w:t>
            </w:r>
            <w:r w:rsidRPr="00B35921">
              <w:rPr>
                <w:rStyle w:val="normaltextrun"/>
                <w:rFonts w:ascii="Arial" w:hAnsi="Arial" w:cs="Arial"/>
                <w:color w:val="0B0C0C"/>
              </w:rPr>
              <w:t>. As a result of our Behaviour Engagement strategy, GAA’s pupil premium suspension rate has now reduced to below national figures with a suspension rate of 12.61%.</w:t>
            </w:r>
            <w:r w:rsidRPr="00B35921">
              <w:rPr>
                <w:rStyle w:val="eop"/>
                <w:rFonts w:ascii="Arial" w:hAnsi="Arial" w:cs="Arial"/>
                <w:color w:val="0B0C0C"/>
              </w:rPr>
              <w:t> </w:t>
            </w:r>
          </w:p>
          <w:p w14:paraId="2A7D54FD" w14:textId="6F67A38F" w:rsidR="00E66558" w:rsidRPr="00B35921" w:rsidRDefault="00B35921" w:rsidP="00B35921">
            <w:pPr>
              <w:pStyle w:val="paragraph"/>
              <w:spacing w:before="0" w:beforeAutospacing="0" w:after="0" w:afterAutospacing="0"/>
              <w:jc w:val="both"/>
              <w:textAlignment w:val="baseline"/>
              <w:rPr>
                <w:rFonts w:ascii="Arial" w:hAnsi="Arial" w:cs="Arial"/>
                <w:color w:val="0D0D0D"/>
              </w:rPr>
            </w:pPr>
            <w:r w:rsidRPr="00B35921">
              <w:rPr>
                <w:rStyle w:val="normaltextrun"/>
                <w:rFonts w:ascii="Arial" w:hAnsi="Arial" w:cs="Arial"/>
                <w:color w:val="0B0C0C"/>
              </w:rPr>
              <w:t xml:space="preserve">The suspensions and permanent exclusions rates </w:t>
            </w:r>
            <w:r w:rsidR="006D032A" w:rsidRPr="00B35921">
              <w:rPr>
                <w:rStyle w:val="normaltextrun"/>
                <w:rFonts w:ascii="Arial" w:hAnsi="Arial" w:cs="Arial"/>
                <w:color w:val="0B0C0C"/>
              </w:rPr>
              <w:t>tend</w:t>
            </w:r>
            <w:r w:rsidRPr="00B35921">
              <w:rPr>
                <w:rStyle w:val="normaltextrun"/>
                <w:rFonts w:ascii="Arial" w:hAnsi="Arial" w:cs="Arial"/>
                <w:color w:val="0B0C0C"/>
              </w:rPr>
              <w:t xml:space="preserve"> to increase as age and year group increase, to a point. The highest rate for suspensions was age 13 and permanent exclusions age 14, before drops for both in higher ages.  Therefore, the challenge for GAA is high due to the </w:t>
            </w:r>
            <w:r w:rsidR="00740211">
              <w:rPr>
                <w:rStyle w:val="normaltextrun"/>
                <w:rFonts w:ascii="Arial" w:hAnsi="Arial" w:cs="Arial"/>
                <w:color w:val="0B0C0C"/>
              </w:rPr>
              <w:t>percentage</w:t>
            </w:r>
            <w:r w:rsidRPr="00B35921">
              <w:rPr>
                <w:rStyle w:val="normaltextrun"/>
                <w:rFonts w:ascii="Arial" w:hAnsi="Arial" w:cs="Arial"/>
                <w:color w:val="0B0C0C"/>
              </w:rPr>
              <w:t xml:space="preserve"> of FSM students and the number of students at the age of the highest rate of suspensions.</w:t>
            </w:r>
            <w:r w:rsidRPr="00B35921">
              <w:rPr>
                <w:rStyle w:val="eop"/>
                <w:rFonts w:ascii="Arial" w:hAnsi="Arial" w:cs="Arial"/>
                <w:color w:val="0B0C0C"/>
              </w:rPr>
              <w:t> </w:t>
            </w:r>
          </w:p>
        </w:tc>
      </w:tr>
      <w:tr w:rsidR="00021DB0" w14:paraId="2669217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5192C" w14:textId="2A366D29" w:rsidR="00021DB0" w:rsidRPr="00717FC1" w:rsidRDefault="00021DB0" w:rsidP="00C31636">
            <w:pPr>
              <w:pStyle w:val="TableRow"/>
              <w:ind w:left="0" w:right="0"/>
            </w:pPr>
            <w:r w:rsidRPr="00717FC1">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CD949" w14:textId="77777777" w:rsidR="007034EA" w:rsidRPr="00717FC1" w:rsidRDefault="007034EA" w:rsidP="007034EA">
            <w:pPr>
              <w:pStyle w:val="TableRowCentered"/>
              <w:ind w:left="0"/>
              <w:jc w:val="left"/>
              <w:rPr>
                <w:b/>
                <w:bCs/>
                <w:iCs/>
                <w:szCs w:val="24"/>
                <w:u w:val="single"/>
              </w:rPr>
            </w:pPr>
            <w:r w:rsidRPr="00717FC1">
              <w:rPr>
                <w:b/>
                <w:bCs/>
                <w:iCs/>
                <w:szCs w:val="24"/>
                <w:u w:val="single"/>
              </w:rPr>
              <w:t xml:space="preserve">Attendance </w:t>
            </w:r>
          </w:p>
          <w:p w14:paraId="4ED39788" w14:textId="1298B5B1" w:rsidR="00021DB0" w:rsidRPr="00717FC1" w:rsidRDefault="007034EA" w:rsidP="007034EA">
            <w:pPr>
              <w:pStyle w:val="TableRowCentered"/>
              <w:ind w:left="0"/>
              <w:jc w:val="left"/>
              <w:rPr>
                <w:iCs/>
                <w:szCs w:val="24"/>
              </w:rPr>
            </w:pPr>
            <w:r w:rsidRPr="00717FC1">
              <w:rPr>
                <w:iCs/>
                <w:szCs w:val="24"/>
              </w:rPr>
              <w:t xml:space="preserve">As a result of a sustained improvement focus, attendance for both pupil premium and non-premium pupils at GAA is now above the national average. However, pupil premium pupils have lower attendance compared to their non-pupil premium peers – contributing to lower overall attainment for this cohort. The gap needs to be closed and so in 2024/5 continued targeted support will take place in order to reduce the 3.7% differential and maintain 1.5% above FSM6 Q4.  </w:t>
            </w:r>
          </w:p>
        </w:tc>
      </w:tr>
    </w:tbl>
    <w:p w14:paraId="2A7D54FF" w14:textId="77777777" w:rsidR="00E66558" w:rsidRDefault="009D71E8">
      <w:pPr>
        <w:pStyle w:val="Heading2"/>
        <w:spacing w:before="600"/>
      </w:pPr>
      <w:r>
        <w:t xml:space="preserve">Intended </w:t>
      </w:r>
      <w:proofErr w:type="gramStart"/>
      <w:r w:rsidRPr="00A968DA">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93CC" w14:textId="77777777" w:rsidR="009F6BED" w:rsidRPr="009F6BED" w:rsidRDefault="009F6BED" w:rsidP="009F6BED">
            <w:pPr>
              <w:pStyle w:val="TableRow"/>
              <w:rPr>
                <w:rFonts w:cs="Arial"/>
              </w:rPr>
            </w:pPr>
            <w:r w:rsidRPr="009F6BED">
              <w:rPr>
                <w:rFonts w:cs="Arial"/>
              </w:rPr>
              <w:t xml:space="preserve">By Summer 2025 ensure that the attainment and progress for disadvantaged pupils will be in line with non-disadvantaged pupils nationally. </w:t>
            </w:r>
          </w:p>
          <w:p w14:paraId="1B65BFC5" w14:textId="77777777" w:rsidR="009F6BED" w:rsidRPr="009F6BED" w:rsidRDefault="009F6BED" w:rsidP="009F6BED">
            <w:pPr>
              <w:pStyle w:val="TableRow"/>
              <w:rPr>
                <w:rFonts w:cs="Arial"/>
              </w:rPr>
            </w:pPr>
          </w:p>
          <w:p w14:paraId="2A7D5504" w14:textId="69241F3F" w:rsidR="00E66558" w:rsidRPr="009F6BED" w:rsidRDefault="00E66558" w:rsidP="00C31636">
            <w:pPr>
              <w:pStyle w:val="TableRow"/>
              <w:ind w:left="0" w:right="0"/>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1E4D9" w14:textId="7157AED9" w:rsidR="007D028B" w:rsidRPr="007D028B" w:rsidRDefault="007D028B" w:rsidP="007D028B">
            <w:pPr>
              <w:pStyle w:val="TableRowCentered"/>
              <w:ind w:left="0"/>
              <w:jc w:val="left"/>
              <w:rPr>
                <w:szCs w:val="24"/>
              </w:rPr>
            </w:pPr>
            <w:r w:rsidRPr="007D028B">
              <w:rPr>
                <w:szCs w:val="24"/>
              </w:rPr>
              <w:lastRenderedPageBreak/>
              <w:t>P</w:t>
            </w:r>
            <w:r>
              <w:rPr>
                <w:szCs w:val="24"/>
              </w:rPr>
              <w:t xml:space="preserve">upil </w:t>
            </w:r>
            <w:r w:rsidRPr="007D028B">
              <w:rPr>
                <w:szCs w:val="24"/>
              </w:rPr>
              <w:t>P</w:t>
            </w:r>
            <w:r>
              <w:rPr>
                <w:szCs w:val="24"/>
              </w:rPr>
              <w:t>remium</w:t>
            </w:r>
            <w:r w:rsidRPr="007D028B">
              <w:rPr>
                <w:szCs w:val="24"/>
              </w:rPr>
              <w:t xml:space="preserve"> KS4 progress scores are in line with non-pupil premium pupils both at the Academy, and local and national data.</w:t>
            </w:r>
          </w:p>
          <w:p w14:paraId="488519F2" w14:textId="77777777" w:rsidR="007D028B" w:rsidRPr="007D028B" w:rsidRDefault="007D028B" w:rsidP="007D028B">
            <w:pPr>
              <w:pStyle w:val="TableRowCentered"/>
              <w:rPr>
                <w:szCs w:val="24"/>
              </w:rPr>
            </w:pPr>
            <w:r w:rsidRPr="007D028B">
              <w:rPr>
                <w:szCs w:val="24"/>
              </w:rPr>
              <w:t xml:space="preserve"> </w:t>
            </w:r>
          </w:p>
          <w:p w14:paraId="35412CD6" w14:textId="77777777" w:rsidR="007D028B" w:rsidRPr="007D028B" w:rsidRDefault="007D028B" w:rsidP="007D028B">
            <w:pPr>
              <w:pStyle w:val="TableRowCentered"/>
              <w:ind w:left="0"/>
              <w:jc w:val="left"/>
              <w:rPr>
                <w:szCs w:val="24"/>
              </w:rPr>
            </w:pPr>
            <w:r w:rsidRPr="007D028B">
              <w:rPr>
                <w:szCs w:val="24"/>
              </w:rPr>
              <w:lastRenderedPageBreak/>
              <w:t>Pupil premium KS4 outcomes are in line with non-premium pupils, both at the Academy, and local and national data.</w:t>
            </w:r>
          </w:p>
          <w:p w14:paraId="2061D201" w14:textId="77777777" w:rsidR="007D028B" w:rsidRPr="007D028B" w:rsidRDefault="007D028B" w:rsidP="007D028B">
            <w:pPr>
              <w:pStyle w:val="TableRowCentered"/>
              <w:rPr>
                <w:szCs w:val="24"/>
              </w:rPr>
            </w:pPr>
            <w:r w:rsidRPr="007D028B">
              <w:rPr>
                <w:szCs w:val="24"/>
              </w:rPr>
              <w:t xml:space="preserve"> </w:t>
            </w:r>
          </w:p>
          <w:p w14:paraId="63C2360B" w14:textId="77777777" w:rsidR="007D028B" w:rsidRPr="007D028B" w:rsidRDefault="007D028B" w:rsidP="007D028B">
            <w:pPr>
              <w:pStyle w:val="TableRowCentered"/>
              <w:ind w:left="0"/>
              <w:jc w:val="left"/>
              <w:rPr>
                <w:szCs w:val="24"/>
              </w:rPr>
            </w:pPr>
            <w:r w:rsidRPr="007D028B">
              <w:rPr>
                <w:szCs w:val="24"/>
              </w:rPr>
              <w:t>The number of PP pupils at above/expected mirrors their non-PP counterparts at Key Stage 3.</w:t>
            </w:r>
          </w:p>
          <w:p w14:paraId="2089EDF6" w14:textId="77777777" w:rsidR="007D028B" w:rsidRDefault="007D028B" w:rsidP="007D028B">
            <w:pPr>
              <w:pStyle w:val="TableRowCentered"/>
              <w:rPr>
                <w:szCs w:val="24"/>
              </w:rPr>
            </w:pPr>
            <w:r w:rsidRPr="007D028B">
              <w:rPr>
                <w:szCs w:val="24"/>
              </w:rPr>
              <w:t xml:space="preserve"> </w:t>
            </w:r>
          </w:p>
          <w:p w14:paraId="1AF7EF1E" w14:textId="1DED47AC" w:rsidR="007D028B" w:rsidRPr="007D028B" w:rsidRDefault="007D028B" w:rsidP="007D028B">
            <w:pPr>
              <w:pStyle w:val="TableRowCentered"/>
              <w:ind w:left="0"/>
              <w:jc w:val="left"/>
              <w:rPr>
                <w:szCs w:val="24"/>
              </w:rPr>
            </w:pPr>
            <w:r w:rsidRPr="007D028B">
              <w:rPr>
                <w:szCs w:val="24"/>
              </w:rPr>
              <w:t>202</w:t>
            </w:r>
            <w:r w:rsidR="005D0981">
              <w:rPr>
                <w:szCs w:val="24"/>
              </w:rPr>
              <w:t>4</w:t>
            </w:r>
            <w:r w:rsidRPr="007D028B">
              <w:rPr>
                <w:szCs w:val="24"/>
              </w:rPr>
              <w:t>/2</w:t>
            </w:r>
            <w:r w:rsidR="005D0981">
              <w:rPr>
                <w:szCs w:val="24"/>
              </w:rPr>
              <w:t>5</w:t>
            </w:r>
            <w:r w:rsidRPr="007D028B">
              <w:rPr>
                <w:szCs w:val="24"/>
              </w:rPr>
              <w:t xml:space="preserve"> Year 11 cohort specific targets for ALL pupils:</w:t>
            </w:r>
          </w:p>
          <w:p w14:paraId="349D0813" w14:textId="75DE3236" w:rsidR="007D028B" w:rsidRPr="007D028B" w:rsidRDefault="007D028B" w:rsidP="00086D49">
            <w:pPr>
              <w:pStyle w:val="TableRowCentered"/>
              <w:numPr>
                <w:ilvl w:val="0"/>
                <w:numId w:val="27"/>
              </w:numPr>
              <w:jc w:val="left"/>
              <w:rPr>
                <w:szCs w:val="24"/>
              </w:rPr>
            </w:pPr>
            <w:r w:rsidRPr="007D028B">
              <w:rPr>
                <w:szCs w:val="24"/>
              </w:rPr>
              <w:t>A8 = 42.0</w:t>
            </w:r>
          </w:p>
          <w:p w14:paraId="074B80E5" w14:textId="48A03585" w:rsidR="007D028B" w:rsidRPr="007D028B" w:rsidRDefault="007D028B" w:rsidP="00086D49">
            <w:pPr>
              <w:pStyle w:val="TableRowCentered"/>
              <w:numPr>
                <w:ilvl w:val="0"/>
                <w:numId w:val="27"/>
              </w:numPr>
              <w:jc w:val="left"/>
              <w:rPr>
                <w:szCs w:val="24"/>
              </w:rPr>
            </w:pPr>
            <w:r w:rsidRPr="007D028B">
              <w:rPr>
                <w:szCs w:val="24"/>
              </w:rPr>
              <w:t>P8 = NA</w:t>
            </w:r>
          </w:p>
          <w:p w14:paraId="769C894F" w14:textId="453204BC" w:rsidR="007D028B" w:rsidRPr="007D028B" w:rsidRDefault="007D028B" w:rsidP="00086D49">
            <w:pPr>
              <w:pStyle w:val="TableRowCentered"/>
              <w:numPr>
                <w:ilvl w:val="0"/>
                <w:numId w:val="27"/>
              </w:numPr>
              <w:jc w:val="left"/>
              <w:rPr>
                <w:szCs w:val="24"/>
              </w:rPr>
            </w:pPr>
            <w:r w:rsidRPr="007D028B">
              <w:rPr>
                <w:szCs w:val="24"/>
              </w:rPr>
              <w:t>PPP8 = NA</w:t>
            </w:r>
          </w:p>
          <w:p w14:paraId="6E4C9DC6" w14:textId="2AEC7CD6" w:rsidR="007D028B" w:rsidRPr="007D028B" w:rsidRDefault="007D028B" w:rsidP="00086D49">
            <w:pPr>
              <w:pStyle w:val="TableRowCentered"/>
              <w:numPr>
                <w:ilvl w:val="0"/>
                <w:numId w:val="27"/>
              </w:numPr>
              <w:jc w:val="left"/>
              <w:rPr>
                <w:szCs w:val="24"/>
              </w:rPr>
            </w:pPr>
            <w:r w:rsidRPr="007D028B">
              <w:rPr>
                <w:szCs w:val="24"/>
              </w:rPr>
              <w:t>En4+ = 65%</w:t>
            </w:r>
          </w:p>
          <w:p w14:paraId="0C4D9B5C" w14:textId="4D7DDDBB" w:rsidR="007D028B" w:rsidRPr="007D028B" w:rsidRDefault="007D028B" w:rsidP="00086D49">
            <w:pPr>
              <w:pStyle w:val="TableRowCentered"/>
              <w:numPr>
                <w:ilvl w:val="0"/>
                <w:numId w:val="27"/>
              </w:numPr>
              <w:jc w:val="left"/>
              <w:rPr>
                <w:szCs w:val="24"/>
              </w:rPr>
            </w:pPr>
            <w:r w:rsidRPr="007D028B">
              <w:rPr>
                <w:szCs w:val="24"/>
              </w:rPr>
              <w:t>Ma4+ = 65%</w:t>
            </w:r>
          </w:p>
          <w:p w14:paraId="184DD797" w14:textId="70B02D6A" w:rsidR="007D028B" w:rsidRPr="007D028B" w:rsidRDefault="007D028B" w:rsidP="00086D49">
            <w:pPr>
              <w:pStyle w:val="TableRowCentered"/>
              <w:numPr>
                <w:ilvl w:val="0"/>
                <w:numId w:val="27"/>
              </w:numPr>
              <w:jc w:val="left"/>
              <w:rPr>
                <w:szCs w:val="24"/>
              </w:rPr>
            </w:pPr>
            <w:r w:rsidRPr="007D028B">
              <w:rPr>
                <w:szCs w:val="24"/>
              </w:rPr>
              <w:t>En5+ = 45%</w:t>
            </w:r>
          </w:p>
          <w:p w14:paraId="7D54740C" w14:textId="31CB3D96" w:rsidR="007D028B" w:rsidRPr="007D028B" w:rsidRDefault="007D028B" w:rsidP="00086D49">
            <w:pPr>
              <w:pStyle w:val="TableRowCentered"/>
              <w:numPr>
                <w:ilvl w:val="0"/>
                <w:numId w:val="27"/>
              </w:numPr>
              <w:jc w:val="left"/>
              <w:rPr>
                <w:szCs w:val="24"/>
              </w:rPr>
            </w:pPr>
            <w:r w:rsidRPr="007D028B">
              <w:rPr>
                <w:szCs w:val="24"/>
              </w:rPr>
              <w:t>Ma5+ = 40%</w:t>
            </w:r>
          </w:p>
          <w:p w14:paraId="2BF4F968" w14:textId="5D06638E" w:rsidR="007D028B" w:rsidRPr="007D028B" w:rsidRDefault="007D028B" w:rsidP="00086D49">
            <w:pPr>
              <w:pStyle w:val="TableRowCentered"/>
              <w:numPr>
                <w:ilvl w:val="0"/>
                <w:numId w:val="27"/>
              </w:numPr>
              <w:jc w:val="left"/>
              <w:rPr>
                <w:szCs w:val="24"/>
              </w:rPr>
            </w:pPr>
            <w:r w:rsidRPr="007D028B">
              <w:rPr>
                <w:szCs w:val="24"/>
              </w:rPr>
              <w:t>Basics 4+ = 60%</w:t>
            </w:r>
          </w:p>
          <w:p w14:paraId="7010C6CC" w14:textId="5926240A" w:rsidR="007D028B" w:rsidRPr="007D028B" w:rsidRDefault="007D028B" w:rsidP="00086D49">
            <w:pPr>
              <w:pStyle w:val="TableRowCentered"/>
              <w:numPr>
                <w:ilvl w:val="0"/>
                <w:numId w:val="27"/>
              </w:numPr>
              <w:jc w:val="left"/>
              <w:rPr>
                <w:szCs w:val="24"/>
              </w:rPr>
            </w:pPr>
            <w:r w:rsidRPr="007D028B">
              <w:rPr>
                <w:szCs w:val="24"/>
              </w:rPr>
              <w:t>Basics 5+ = 35%</w:t>
            </w:r>
          </w:p>
          <w:p w14:paraId="4EA76CE8" w14:textId="27416B3A" w:rsidR="007D028B" w:rsidRPr="007D028B" w:rsidRDefault="007D028B" w:rsidP="00086D49">
            <w:pPr>
              <w:pStyle w:val="TableRowCentered"/>
              <w:numPr>
                <w:ilvl w:val="0"/>
                <w:numId w:val="27"/>
              </w:numPr>
              <w:jc w:val="left"/>
              <w:rPr>
                <w:szCs w:val="24"/>
              </w:rPr>
            </w:pPr>
            <w:r w:rsidRPr="007D028B">
              <w:rPr>
                <w:szCs w:val="24"/>
              </w:rPr>
              <w:t>EBACC APS &gt; 4.0</w:t>
            </w:r>
          </w:p>
          <w:p w14:paraId="0809D03C" w14:textId="13BB5083" w:rsidR="007D028B" w:rsidRPr="007D028B" w:rsidRDefault="007D028B" w:rsidP="00086D49">
            <w:pPr>
              <w:pStyle w:val="TableRowCentered"/>
              <w:numPr>
                <w:ilvl w:val="0"/>
                <w:numId w:val="27"/>
              </w:numPr>
              <w:jc w:val="left"/>
              <w:rPr>
                <w:szCs w:val="24"/>
              </w:rPr>
            </w:pPr>
            <w:r w:rsidRPr="007D028B">
              <w:rPr>
                <w:szCs w:val="24"/>
              </w:rPr>
              <w:t>Attendance = +0.2% (&gt;NA)</w:t>
            </w:r>
          </w:p>
          <w:p w14:paraId="7B863A00" w14:textId="140C6D29" w:rsidR="007D028B" w:rsidRPr="007D028B" w:rsidRDefault="007D028B" w:rsidP="00086D49">
            <w:pPr>
              <w:pStyle w:val="TableRowCentered"/>
              <w:numPr>
                <w:ilvl w:val="0"/>
                <w:numId w:val="27"/>
              </w:numPr>
              <w:jc w:val="left"/>
              <w:rPr>
                <w:szCs w:val="24"/>
              </w:rPr>
            </w:pPr>
            <w:r w:rsidRPr="007D028B">
              <w:rPr>
                <w:szCs w:val="24"/>
              </w:rPr>
              <w:t>NEET = 0%</w:t>
            </w:r>
          </w:p>
          <w:p w14:paraId="2A7D5505" w14:textId="4CF35E5B" w:rsidR="00E66558" w:rsidRPr="007D028B" w:rsidRDefault="007D028B" w:rsidP="00086D49">
            <w:pPr>
              <w:pStyle w:val="TableRowCentered"/>
              <w:numPr>
                <w:ilvl w:val="0"/>
                <w:numId w:val="27"/>
              </w:numPr>
              <w:ind w:right="0"/>
              <w:jc w:val="left"/>
              <w:rPr>
                <w:szCs w:val="24"/>
              </w:rPr>
            </w:pPr>
            <w:r w:rsidRPr="007D028B">
              <w:rPr>
                <w:szCs w:val="24"/>
              </w:rPr>
              <w:t>PA = -3 (&lt;NA)</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4B935FA" w:rsidR="00E66558" w:rsidRPr="00E27F70" w:rsidRDefault="007421FD" w:rsidP="00C31636">
            <w:pPr>
              <w:pStyle w:val="TableRow"/>
              <w:ind w:left="0" w:right="0"/>
            </w:pPr>
            <w:r w:rsidRPr="00E27F70">
              <w:lastRenderedPageBreak/>
              <w:t>Pupil reading NGRT scores will increase as a result of our waves of intervention linked to our reading strategy.</w:t>
            </w:r>
            <w:r w:rsidR="00F01EE7">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625CA02" w:rsidR="00E66558" w:rsidRPr="00E27F70" w:rsidRDefault="00E27F70" w:rsidP="00C31636">
            <w:pPr>
              <w:pStyle w:val="TableRowCentered"/>
              <w:ind w:left="0" w:right="0"/>
              <w:jc w:val="left"/>
              <w:rPr>
                <w:szCs w:val="24"/>
              </w:rPr>
            </w:pPr>
            <w:r w:rsidRPr="00E27F70">
              <w:rPr>
                <w:szCs w:val="24"/>
              </w:rPr>
              <w:t>Analysis from teacher assessments, Lexoni</w:t>
            </w:r>
            <w:r w:rsidR="00B71DC7">
              <w:rPr>
                <w:szCs w:val="24"/>
              </w:rPr>
              <w:t>k</w:t>
            </w:r>
            <w:r w:rsidRPr="00E27F70">
              <w:rPr>
                <w:szCs w:val="24"/>
              </w:rPr>
              <w:t xml:space="preserve"> Advanced and Reading Plus will show an increase in NGRT scores for pupil premium pupils across all year groups.</w:t>
            </w:r>
            <w:r w:rsidR="00F01EE7">
              <w:rPr>
                <w:szCs w:val="24"/>
              </w:rPr>
              <w:t xml:space="preserve"> </w:t>
            </w:r>
            <w:r w:rsidR="00F01EE7" w:rsidRPr="00F01EE7">
              <w:rPr>
                <w:szCs w:val="24"/>
              </w:rPr>
              <w:t xml:space="preserve">To at least maintain the PP </w:t>
            </w:r>
            <w:r w:rsidR="00EE6B28" w:rsidRPr="00F01EE7">
              <w:rPr>
                <w:szCs w:val="24"/>
              </w:rPr>
              <w:t>non-PP</w:t>
            </w:r>
            <w:r w:rsidR="00F01EE7" w:rsidRPr="00F01EE7">
              <w:rPr>
                <w:szCs w:val="24"/>
              </w:rPr>
              <w:t xml:space="preserve"> gap</w:t>
            </w:r>
            <w:r w:rsidR="00DD106B">
              <w:rPr>
                <w:szCs w:val="24"/>
              </w:rPr>
              <w:t xml:space="preserve"> -</w:t>
            </w:r>
            <w:r w:rsidR="00533D12">
              <w:rPr>
                <w:szCs w:val="24"/>
              </w:rPr>
              <w:t>6</w:t>
            </w:r>
            <w:r w:rsidR="00F01EE7" w:rsidRPr="00F01EE7">
              <w:rPr>
                <w:szCs w:val="24"/>
              </w:rPr>
              <w:t>, which is currently narrower than the national gap</w:t>
            </w:r>
            <w:r w:rsidR="00533D12">
              <w:rPr>
                <w:szCs w:val="24"/>
              </w:rPr>
              <w:t xml:space="preserve"> -8</w:t>
            </w:r>
            <w:r w:rsidR="00F01EE7" w:rsidRPr="00F01EE7">
              <w:rPr>
                <w:szCs w:val="24"/>
              </w:rPr>
              <w:t xml:space="preserve">.  In time, to further narrow the PP </w:t>
            </w:r>
            <w:r w:rsidR="00EE6B28" w:rsidRPr="00F01EE7">
              <w:rPr>
                <w:szCs w:val="24"/>
              </w:rPr>
              <w:t>non-PP</w:t>
            </w:r>
            <w:r w:rsidR="00F01EE7" w:rsidRPr="00F01EE7">
              <w:rPr>
                <w:szCs w:val="24"/>
              </w:rPr>
              <w:t xml:space="preserve"> Gap by 2 points on the SAS NGRT. </w:t>
            </w:r>
          </w:p>
        </w:tc>
      </w:tr>
      <w:tr w:rsidR="00D0430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4881E5F" w:rsidR="00D04309" w:rsidRDefault="00D04309" w:rsidP="00D04309">
            <w:pPr>
              <w:pStyle w:val="TableRow"/>
              <w:ind w:left="0" w:right="0"/>
              <w:rPr>
                <w:sz w:val="22"/>
                <w:szCs w:val="22"/>
              </w:rPr>
            </w:pPr>
            <w:r w:rsidRPr="00F6600A">
              <w:rPr>
                <w:sz w:val="22"/>
                <w:szCs w:val="22"/>
              </w:rPr>
              <w:t>For pupils to engage with and read a broad and enriching range of fiction and non-fiction texts both for knowledge and pleasure, which align with our school context, reading ability and interest level.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73BE" w14:textId="77777777" w:rsidR="00D04309" w:rsidRPr="00D61247" w:rsidRDefault="00D04309" w:rsidP="00D04309">
            <w:pPr>
              <w:pStyle w:val="TableRow"/>
              <w:ind w:left="0"/>
              <w:rPr>
                <w:rFonts w:cs="Arial"/>
                <w:iCs/>
                <w:color w:val="auto"/>
              </w:rPr>
            </w:pPr>
            <w:r w:rsidRPr="00D61247">
              <w:rPr>
                <w:rFonts w:cs="Arial"/>
              </w:rPr>
              <w:t>There will be a visible, positive culture of reading within classrooms.</w:t>
            </w:r>
            <w:r w:rsidRPr="00D61247">
              <w:rPr>
                <w:rFonts w:cs="Arial"/>
                <w:iCs/>
                <w:color w:val="auto"/>
              </w:rPr>
              <w:t xml:space="preserve"> </w:t>
            </w:r>
          </w:p>
          <w:p w14:paraId="56D70628" w14:textId="77777777" w:rsidR="00D04309" w:rsidRPr="000D254E" w:rsidRDefault="00D04309" w:rsidP="000D254E">
            <w:pPr>
              <w:pStyle w:val="TableRow"/>
              <w:numPr>
                <w:ilvl w:val="0"/>
                <w:numId w:val="26"/>
              </w:numPr>
              <w:rPr>
                <w:rFonts w:cs="Arial"/>
                <w:iCs/>
                <w:color w:val="auto"/>
              </w:rPr>
            </w:pPr>
            <w:r w:rsidRPr="000D254E">
              <w:rPr>
                <w:rFonts w:cs="Arial"/>
                <w:iCs/>
                <w:color w:val="auto"/>
              </w:rPr>
              <w:t>Reg and Read GAA Literary Canon.</w:t>
            </w:r>
          </w:p>
          <w:p w14:paraId="121406F9" w14:textId="77777777" w:rsidR="00D04309" w:rsidRPr="000D254E" w:rsidRDefault="00D04309" w:rsidP="000D254E">
            <w:pPr>
              <w:pStyle w:val="TableRow"/>
              <w:numPr>
                <w:ilvl w:val="0"/>
                <w:numId w:val="26"/>
              </w:numPr>
              <w:rPr>
                <w:rFonts w:cs="Arial"/>
                <w:iCs/>
                <w:color w:val="auto"/>
              </w:rPr>
            </w:pPr>
            <w:r w:rsidRPr="000D254E">
              <w:rPr>
                <w:rFonts w:cs="Arial"/>
                <w:iCs/>
                <w:color w:val="auto"/>
              </w:rPr>
              <w:t>Curriculum planning for disciplinary reading.</w:t>
            </w:r>
          </w:p>
          <w:p w14:paraId="255C3B27" w14:textId="77777777" w:rsidR="00D04309" w:rsidRPr="000D254E" w:rsidRDefault="00D04309" w:rsidP="000D254E">
            <w:pPr>
              <w:pStyle w:val="TableRow"/>
              <w:numPr>
                <w:ilvl w:val="0"/>
                <w:numId w:val="26"/>
              </w:numPr>
              <w:rPr>
                <w:rFonts w:cs="Arial"/>
                <w:iCs/>
                <w:color w:val="auto"/>
              </w:rPr>
            </w:pPr>
            <w:r w:rsidRPr="000D254E">
              <w:rPr>
                <w:rFonts w:cs="Arial"/>
                <w:iCs/>
                <w:color w:val="auto"/>
              </w:rPr>
              <w:t>Word of the Week.</w:t>
            </w:r>
          </w:p>
          <w:p w14:paraId="5E55FF96" w14:textId="77777777" w:rsidR="00D04309" w:rsidRPr="000D254E" w:rsidRDefault="00D04309" w:rsidP="000D254E">
            <w:pPr>
              <w:pStyle w:val="TableRow"/>
              <w:numPr>
                <w:ilvl w:val="0"/>
                <w:numId w:val="26"/>
              </w:numPr>
              <w:rPr>
                <w:rFonts w:cs="Arial"/>
                <w:iCs/>
                <w:color w:val="auto"/>
              </w:rPr>
            </w:pPr>
            <w:r w:rsidRPr="000D254E">
              <w:rPr>
                <w:rFonts w:cs="Arial"/>
                <w:iCs/>
                <w:color w:val="auto"/>
              </w:rPr>
              <w:t>Reading Plus.</w:t>
            </w:r>
          </w:p>
          <w:p w14:paraId="66E37029" w14:textId="77777777" w:rsidR="000D254E" w:rsidRDefault="00D04309" w:rsidP="000D254E">
            <w:pPr>
              <w:pStyle w:val="TableRow"/>
              <w:numPr>
                <w:ilvl w:val="0"/>
                <w:numId w:val="26"/>
              </w:numPr>
              <w:rPr>
                <w:rFonts w:cs="Arial"/>
                <w:iCs/>
                <w:color w:val="auto"/>
              </w:rPr>
            </w:pPr>
            <w:r w:rsidRPr="000D254E">
              <w:rPr>
                <w:rFonts w:cs="Arial"/>
                <w:iCs/>
                <w:color w:val="auto"/>
              </w:rPr>
              <w:t>Library- Reading for pleasure.</w:t>
            </w:r>
          </w:p>
          <w:p w14:paraId="09A47636" w14:textId="7B00C070" w:rsidR="00D04309" w:rsidRPr="000D254E" w:rsidRDefault="000D254E" w:rsidP="000D254E">
            <w:pPr>
              <w:pStyle w:val="TableRow"/>
              <w:numPr>
                <w:ilvl w:val="0"/>
                <w:numId w:val="26"/>
              </w:numPr>
              <w:rPr>
                <w:rFonts w:cs="Arial"/>
                <w:iCs/>
                <w:color w:val="auto"/>
              </w:rPr>
            </w:pPr>
            <w:r>
              <w:rPr>
                <w:rFonts w:cs="Arial"/>
                <w:iCs/>
                <w:color w:val="auto"/>
              </w:rPr>
              <w:t>T</w:t>
            </w:r>
            <w:r w:rsidR="00D04309" w:rsidRPr="000D254E">
              <w:rPr>
                <w:rFonts w:cs="Arial"/>
                <w:iCs/>
                <w:color w:val="auto"/>
              </w:rPr>
              <w:t>ransition book year 7.</w:t>
            </w:r>
          </w:p>
          <w:p w14:paraId="0557B636" w14:textId="77777777" w:rsidR="00D04309" w:rsidRPr="000D254E" w:rsidRDefault="00D04309" w:rsidP="000D254E">
            <w:pPr>
              <w:pStyle w:val="TableRow"/>
              <w:numPr>
                <w:ilvl w:val="0"/>
                <w:numId w:val="26"/>
              </w:numPr>
              <w:rPr>
                <w:rFonts w:cs="Arial"/>
                <w:iCs/>
                <w:color w:val="auto"/>
              </w:rPr>
            </w:pPr>
            <w:r w:rsidRPr="000D254E">
              <w:rPr>
                <w:rFonts w:cs="Arial"/>
                <w:iCs/>
                <w:color w:val="auto"/>
              </w:rPr>
              <w:t>Shakespeare’s Romeo and Juliet for every Year 8 student, ‘literature in the home’.</w:t>
            </w:r>
          </w:p>
          <w:p w14:paraId="10F5D8C3" w14:textId="77777777" w:rsidR="00D04309" w:rsidRPr="00F07D8D" w:rsidRDefault="00D04309" w:rsidP="000D254E">
            <w:pPr>
              <w:pStyle w:val="TableRow"/>
              <w:numPr>
                <w:ilvl w:val="0"/>
                <w:numId w:val="26"/>
              </w:numPr>
              <w:rPr>
                <w:rFonts w:cs="Arial"/>
                <w:color w:val="auto"/>
              </w:rPr>
            </w:pPr>
            <w:r w:rsidRPr="000D254E">
              <w:rPr>
                <w:rFonts w:cs="Arial"/>
                <w:iCs/>
                <w:color w:val="auto"/>
              </w:rPr>
              <w:lastRenderedPageBreak/>
              <w:t>Positive engagement with Right to Succeed reading project</w:t>
            </w:r>
            <w:r w:rsidRPr="00D61247">
              <w:rPr>
                <w:rFonts w:cs="Arial"/>
                <w:i/>
                <w:iCs/>
                <w:color w:val="auto"/>
              </w:rPr>
              <w:t xml:space="preserve"> </w:t>
            </w:r>
            <w:r w:rsidRPr="00F07D8D">
              <w:rPr>
                <w:rFonts w:cs="Arial"/>
                <w:color w:val="auto"/>
              </w:rPr>
              <w:t>Tameside LA project as part of PEIA.</w:t>
            </w:r>
          </w:p>
          <w:p w14:paraId="78A8A7CE" w14:textId="77777777" w:rsidR="00270102" w:rsidRDefault="00D04309" w:rsidP="00270102">
            <w:pPr>
              <w:pStyle w:val="TableRow"/>
              <w:numPr>
                <w:ilvl w:val="0"/>
                <w:numId w:val="24"/>
              </w:numPr>
              <w:rPr>
                <w:rFonts w:cs="Arial"/>
                <w:color w:val="auto"/>
              </w:rPr>
            </w:pPr>
            <w:r w:rsidRPr="00F07D8D">
              <w:rPr>
                <w:rFonts w:cs="Arial"/>
                <w:color w:val="auto"/>
              </w:rPr>
              <w:t>Subject specific vocabulary that is referred to by staff in their lessons.</w:t>
            </w:r>
          </w:p>
          <w:p w14:paraId="2A7D550B" w14:textId="26572810" w:rsidR="00D04309" w:rsidRPr="00270102" w:rsidRDefault="00D04309" w:rsidP="00270102">
            <w:pPr>
              <w:pStyle w:val="TableRow"/>
              <w:ind w:left="0"/>
              <w:rPr>
                <w:rFonts w:cs="Arial"/>
                <w:color w:val="auto"/>
              </w:rPr>
            </w:pPr>
            <w:r w:rsidRPr="00270102">
              <w:rPr>
                <w:rFonts w:cs="Arial"/>
              </w:rPr>
              <w:t>There will be an increased number of book loans to be evident amongst our most disadvantaged pupils.</w:t>
            </w:r>
          </w:p>
        </w:tc>
      </w:tr>
      <w:tr w:rsidR="00D0430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6DF6E56" w:rsidR="00D04309" w:rsidRPr="001C694A" w:rsidRDefault="001C694A" w:rsidP="00D04309">
            <w:pPr>
              <w:pStyle w:val="TableRow"/>
              <w:ind w:left="0" w:right="0"/>
            </w:pPr>
            <w:r w:rsidRPr="001C694A">
              <w:lastRenderedPageBreak/>
              <w:t>Reduction in the number of suspension/exclusions for pupil premium pupils, without the lowering of expectations on acceptable behaviour within the Academy.  This will be supported by the behaviour for learning strategy as it embeds with pupils and staff.</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B0E4" w14:textId="51F82573" w:rsidR="00326454" w:rsidRDefault="00326454" w:rsidP="00326454">
            <w:pPr>
              <w:pStyle w:val="TableRowCentered"/>
              <w:ind w:left="0"/>
              <w:jc w:val="left"/>
              <w:rPr>
                <w:szCs w:val="24"/>
              </w:rPr>
            </w:pPr>
            <w:r w:rsidRPr="00D46E38">
              <w:rPr>
                <w:szCs w:val="24"/>
              </w:rPr>
              <w:t xml:space="preserve">Number of behaviour points and sanctions for PP in line with non-PP, and showing an overall decline compared to previous academic years. </w:t>
            </w:r>
          </w:p>
          <w:p w14:paraId="5372CE8A" w14:textId="77777777" w:rsidR="00270102" w:rsidRPr="00D46E38" w:rsidRDefault="00270102" w:rsidP="00326454">
            <w:pPr>
              <w:pStyle w:val="TableRowCentered"/>
              <w:ind w:left="0"/>
              <w:jc w:val="left"/>
              <w:rPr>
                <w:szCs w:val="24"/>
              </w:rPr>
            </w:pPr>
          </w:p>
          <w:p w14:paraId="7120C3BC" w14:textId="71F4125D" w:rsidR="00326454" w:rsidRDefault="00326454" w:rsidP="00326454">
            <w:pPr>
              <w:pStyle w:val="TableRowCentered"/>
              <w:ind w:left="0"/>
              <w:jc w:val="left"/>
              <w:rPr>
                <w:szCs w:val="24"/>
              </w:rPr>
            </w:pPr>
            <w:r w:rsidRPr="00D46E38">
              <w:rPr>
                <w:szCs w:val="24"/>
              </w:rPr>
              <w:t>Suspensions reduced for PP and in line with non-PP, and show an overall decline compared to previous academic years.</w:t>
            </w:r>
          </w:p>
          <w:p w14:paraId="68173CF9" w14:textId="77777777" w:rsidR="00270102" w:rsidRPr="00D46E38" w:rsidRDefault="00270102" w:rsidP="00326454">
            <w:pPr>
              <w:pStyle w:val="TableRowCentered"/>
              <w:ind w:left="0"/>
              <w:jc w:val="left"/>
              <w:rPr>
                <w:szCs w:val="24"/>
              </w:rPr>
            </w:pPr>
          </w:p>
          <w:p w14:paraId="11020A3F" w14:textId="3B715D4A" w:rsidR="00326454" w:rsidRDefault="00326454" w:rsidP="00326454">
            <w:pPr>
              <w:pStyle w:val="TableRowCentered"/>
              <w:ind w:left="0"/>
              <w:jc w:val="left"/>
              <w:rPr>
                <w:szCs w:val="24"/>
              </w:rPr>
            </w:pPr>
            <w:r w:rsidRPr="00D46E38">
              <w:rPr>
                <w:szCs w:val="24"/>
              </w:rPr>
              <w:t>Allocation of rewards for PP pupils in line with non-PP.</w:t>
            </w:r>
          </w:p>
          <w:p w14:paraId="18C35D7C" w14:textId="77777777" w:rsidR="00270102" w:rsidRPr="00D46E38" w:rsidRDefault="00270102" w:rsidP="00326454">
            <w:pPr>
              <w:pStyle w:val="TableRowCentered"/>
              <w:ind w:left="0"/>
              <w:jc w:val="left"/>
              <w:rPr>
                <w:szCs w:val="24"/>
              </w:rPr>
            </w:pPr>
          </w:p>
          <w:p w14:paraId="164FCB9C" w14:textId="0714C21E" w:rsidR="00326454" w:rsidRDefault="00326454" w:rsidP="00326454">
            <w:pPr>
              <w:pStyle w:val="TableRowCentered"/>
              <w:ind w:left="0"/>
              <w:jc w:val="left"/>
              <w:rPr>
                <w:szCs w:val="24"/>
              </w:rPr>
            </w:pPr>
            <w:r w:rsidRPr="00D46E38">
              <w:rPr>
                <w:szCs w:val="24"/>
              </w:rPr>
              <w:t xml:space="preserve">Opening on a KS3 Internal Alternative Provision.  </w:t>
            </w:r>
          </w:p>
          <w:p w14:paraId="2BF5BF70" w14:textId="77777777" w:rsidR="00270102" w:rsidRPr="00D46E38" w:rsidRDefault="00270102" w:rsidP="00326454">
            <w:pPr>
              <w:pStyle w:val="TableRowCentered"/>
              <w:ind w:left="0"/>
              <w:jc w:val="left"/>
              <w:rPr>
                <w:szCs w:val="24"/>
              </w:rPr>
            </w:pPr>
          </w:p>
          <w:p w14:paraId="2A7D550E" w14:textId="33B66AFB" w:rsidR="00D04309" w:rsidRDefault="00326454" w:rsidP="00326454">
            <w:pPr>
              <w:pStyle w:val="TableRowCentered"/>
              <w:ind w:left="0" w:right="0"/>
              <w:jc w:val="left"/>
              <w:rPr>
                <w:sz w:val="22"/>
                <w:szCs w:val="22"/>
              </w:rPr>
            </w:pPr>
            <w:r w:rsidRPr="00D46E38">
              <w:rPr>
                <w:szCs w:val="24"/>
              </w:rPr>
              <w:t>Increase in EHCP applications to support SEMH students.</w:t>
            </w:r>
          </w:p>
        </w:tc>
      </w:tr>
      <w:tr w:rsidR="00263F01" w14:paraId="6EA92BD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2777E" w14:textId="7F1F9856" w:rsidR="00263F01" w:rsidRPr="00D46E38" w:rsidRDefault="00D46E38" w:rsidP="00D04309">
            <w:pPr>
              <w:pStyle w:val="TableRow"/>
              <w:ind w:left="0" w:right="0"/>
            </w:pPr>
            <w:r w:rsidRPr="00D46E38">
              <w:t xml:space="preserve">By Summer 2025 the mental health and </w:t>
            </w:r>
            <w:proofErr w:type="spellStart"/>
            <w:r w:rsidRPr="00D46E38">
              <w:t>well being</w:t>
            </w:r>
            <w:proofErr w:type="spellEnd"/>
            <w:r w:rsidRPr="00D46E38">
              <w:t xml:space="preserve"> of the pupil premium cohort will be in line with non-PP (although the caveat is that this may still be high, even increasing, as mental health needs are increasing nationally) and needs will be met by a combination of in-school provision /signposting to additional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7713" w14:textId="52B4D7E8" w:rsidR="00270102" w:rsidRDefault="00270102" w:rsidP="00270102">
            <w:pPr>
              <w:pStyle w:val="TableRowCentered"/>
              <w:ind w:left="0"/>
              <w:jc w:val="left"/>
              <w:rPr>
                <w:szCs w:val="24"/>
              </w:rPr>
            </w:pPr>
            <w:r w:rsidRPr="00270102">
              <w:rPr>
                <w:szCs w:val="24"/>
              </w:rPr>
              <w:t>Pastoral referral data for mental health and well-being service requirements indicates the % of pupil premium referrals is in line with non-pupil premium pupil referrals.</w:t>
            </w:r>
          </w:p>
          <w:p w14:paraId="0E277072" w14:textId="77777777" w:rsidR="00270102" w:rsidRPr="00270102" w:rsidRDefault="00270102" w:rsidP="00270102">
            <w:pPr>
              <w:pStyle w:val="TableRowCentered"/>
              <w:ind w:left="0"/>
              <w:jc w:val="left"/>
              <w:rPr>
                <w:szCs w:val="24"/>
              </w:rPr>
            </w:pPr>
          </w:p>
          <w:p w14:paraId="1A09EF51" w14:textId="6AA053E0" w:rsidR="00270102" w:rsidRDefault="00270102" w:rsidP="00270102">
            <w:pPr>
              <w:pStyle w:val="TableRowCentered"/>
              <w:ind w:left="0"/>
              <w:jc w:val="left"/>
              <w:rPr>
                <w:szCs w:val="24"/>
              </w:rPr>
            </w:pPr>
            <w:r w:rsidRPr="00270102">
              <w:rPr>
                <w:szCs w:val="24"/>
              </w:rPr>
              <w:t xml:space="preserve">Qualitative data from pupil voice, including </w:t>
            </w:r>
            <w:proofErr w:type="spellStart"/>
            <w:r w:rsidRPr="00270102">
              <w:rPr>
                <w:szCs w:val="24"/>
              </w:rPr>
              <w:t>BeeWell</w:t>
            </w:r>
            <w:proofErr w:type="spellEnd"/>
            <w:r w:rsidRPr="00270102">
              <w:rPr>
                <w:szCs w:val="24"/>
              </w:rPr>
              <w:t xml:space="preserve"> survey, teacher observations and parental feedback also from safeguarding (CPOMs) and Emotional Health and Wellbeing team indicate need is being met.</w:t>
            </w:r>
          </w:p>
          <w:p w14:paraId="2D5FDD18" w14:textId="77777777" w:rsidR="00270102" w:rsidRPr="00270102" w:rsidRDefault="00270102" w:rsidP="00270102">
            <w:pPr>
              <w:pStyle w:val="TableRowCentered"/>
              <w:ind w:left="0"/>
              <w:jc w:val="left"/>
              <w:rPr>
                <w:szCs w:val="24"/>
              </w:rPr>
            </w:pPr>
          </w:p>
          <w:p w14:paraId="0A2EC0FC" w14:textId="66C756EB" w:rsidR="00270102" w:rsidRDefault="00270102" w:rsidP="00270102">
            <w:pPr>
              <w:pStyle w:val="TableRowCentered"/>
              <w:ind w:left="0"/>
              <w:jc w:val="left"/>
              <w:rPr>
                <w:szCs w:val="24"/>
              </w:rPr>
            </w:pPr>
            <w:r w:rsidRPr="00270102">
              <w:rPr>
                <w:szCs w:val="24"/>
              </w:rPr>
              <w:t>A range of internal pastoral interventions is in place to reduce high tiered referrals to external support.</w:t>
            </w:r>
          </w:p>
          <w:p w14:paraId="27D76CC1" w14:textId="77777777" w:rsidR="00270102" w:rsidRPr="00270102" w:rsidRDefault="00270102" w:rsidP="00270102">
            <w:pPr>
              <w:pStyle w:val="TableRowCentered"/>
              <w:ind w:left="0"/>
              <w:jc w:val="left"/>
              <w:rPr>
                <w:szCs w:val="24"/>
              </w:rPr>
            </w:pPr>
          </w:p>
          <w:p w14:paraId="3EAE2CC2" w14:textId="2847B74E" w:rsidR="00270102" w:rsidRDefault="00270102" w:rsidP="00270102">
            <w:pPr>
              <w:pStyle w:val="TableRowCentered"/>
              <w:ind w:left="0"/>
              <w:jc w:val="left"/>
              <w:rPr>
                <w:szCs w:val="24"/>
              </w:rPr>
            </w:pPr>
            <w:r w:rsidRPr="00270102">
              <w:rPr>
                <w:szCs w:val="24"/>
              </w:rPr>
              <w:t xml:space="preserve">EBSA PP cohort show incremental positive improvements in attendance </w:t>
            </w:r>
            <w:r w:rsidRPr="00270102">
              <w:rPr>
                <w:szCs w:val="24"/>
              </w:rPr>
              <w:lastRenderedPageBreak/>
              <w:t xml:space="preserve">data as appropriate for EBSA identified pupils. </w:t>
            </w:r>
          </w:p>
          <w:p w14:paraId="13959E27" w14:textId="77777777" w:rsidR="00270102" w:rsidRPr="00270102" w:rsidRDefault="00270102" w:rsidP="00270102">
            <w:pPr>
              <w:pStyle w:val="TableRowCentered"/>
              <w:ind w:left="0"/>
              <w:jc w:val="left"/>
              <w:rPr>
                <w:szCs w:val="24"/>
              </w:rPr>
            </w:pPr>
          </w:p>
          <w:p w14:paraId="3AF7E492" w14:textId="2EAA91A6" w:rsidR="00270102" w:rsidRDefault="00270102" w:rsidP="00270102">
            <w:pPr>
              <w:pStyle w:val="TableRowCentered"/>
              <w:ind w:left="0"/>
              <w:jc w:val="left"/>
              <w:rPr>
                <w:szCs w:val="24"/>
              </w:rPr>
            </w:pPr>
            <w:r w:rsidRPr="00270102">
              <w:rPr>
                <w:szCs w:val="24"/>
              </w:rPr>
              <w:t>A reduction in persistent absence due to EBSA.</w:t>
            </w:r>
          </w:p>
          <w:p w14:paraId="69C2B730" w14:textId="77777777" w:rsidR="00270102" w:rsidRPr="00270102" w:rsidRDefault="00270102" w:rsidP="00270102">
            <w:pPr>
              <w:pStyle w:val="TableRowCentered"/>
              <w:ind w:left="0"/>
              <w:jc w:val="left"/>
              <w:rPr>
                <w:szCs w:val="24"/>
              </w:rPr>
            </w:pPr>
          </w:p>
          <w:p w14:paraId="5D2EFCE8" w14:textId="4DC9B13D" w:rsidR="00263F01" w:rsidRDefault="00270102" w:rsidP="00270102">
            <w:pPr>
              <w:pStyle w:val="TableRowCentered"/>
              <w:ind w:left="0" w:right="0"/>
              <w:jc w:val="left"/>
              <w:rPr>
                <w:sz w:val="22"/>
                <w:szCs w:val="22"/>
              </w:rPr>
            </w:pPr>
            <w:r w:rsidRPr="00270102">
              <w:rPr>
                <w:szCs w:val="24"/>
              </w:rPr>
              <w:t>External validation of the mental health and wellbeing offer through Anchored Schools Program.</w:t>
            </w:r>
          </w:p>
        </w:tc>
      </w:tr>
      <w:tr w:rsidR="00326454" w14:paraId="6E458B6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40C1" w14:textId="33478ADA" w:rsidR="00326454" w:rsidRPr="000E1D9A" w:rsidRDefault="000E1D9A" w:rsidP="00D04309">
            <w:pPr>
              <w:pStyle w:val="TableRow"/>
              <w:ind w:left="0" w:right="0"/>
            </w:pPr>
            <w:r w:rsidRPr="000E1D9A">
              <w:lastRenderedPageBreak/>
              <w:t>By Summer 2025 pupil premium pupils will enjoy better connection to the Academy, through a fully integrated ‘advocacy’ programme, yielding significant benefits especially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27C7" w14:textId="359FB9B5" w:rsidR="00B1404D" w:rsidRPr="00B1404D" w:rsidRDefault="00B1404D" w:rsidP="00B1404D">
            <w:pPr>
              <w:pStyle w:val="TableRowCentered"/>
              <w:ind w:left="0"/>
              <w:jc w:val="left"/>
              <w:rPr>
                <w:szCs w:val="24"/>
              </w:rPr>
            </w:pPr>
            <w:r w:rsidRPr="00B1404D">
              <w:rPr>
                <w:szCs w:val="24"/>
              </w:rPr>
              <w:t xml:space="preserve">An increase in participation rates of pupil premium pupils, through targeted invite to enrichment clubs, educational outings, and career-orientated events, with attendance tracked and analysed. </w:t>
            </w:r>
          </w:p>
          <w:p w14:paraId="14D80C42" w14:textId="77777777" w:rsidR="00B1404D" w:rsidRPr="00B1404D" w:rsidRDefault="00B1404D" w:rsidP="00B1404D">
            <w:pPr>
              <w:pStyle w:val="TableRowCentered"/>
              <w:ind w:left="0"/>
              <w:jc w:val="left"/>
              <w:rPr>
                <w:szCs w:val="24"/>
              </w:rPr>
            </w:pPr>
          </w:p>
          <w:p w14:paraId="18DDAA35" w14:textId="77777777" w:rsidR="00B1404D" w:rsidRPr="00B1404D" w:rsidRDefault="00B1404D" w:rsidP="00B1404D">
            <w:pPr>
              <w:pStyle w:val="TableRowCentered"/>
              <w:ind w:left="0"/>
              <w:jc w:val="left"/>
              <w:rPr>
                <w:szCs w:val="24"/>
              </w:rPr>
            </w:pPr>
            <w:r w:rsidRPr="00B1404D">
              <w:rPr>
                <w:szCs w:val="24"/>
              </w:rPr>
              <w:t>Data will show the pupil premium cohort will have received a 1:1 career interview and college support plan.</w:t>
            </w:r>
          </w:p>
          <w:p w14:paraId="087258BC" w14:textId="77777777" w:rsidR="00B1404D" w:rsidRPr="00B1404D" w:rsidRDefault="00B1404D" w:rsidP="00B1404D">
            <w:pPr>
              <w:pStyle w:val="TableRowCentered"/>
              <w:ind w:left="0"/>
              <w:jc w:val="left"/>
              <w:rPr>
                <w:szCs w:val="24"/>
              </w:rPr>
            </w:pPr>
          </w:p>
          <w:p w14:paraId="13E90A87" w14:textId="0AD780BC" w:rsidR="00326454" w:rsidRDefault="00B1404D" w:rsidP="00B1404D">
            <w:pPr>
              <w:pStyle w:val="TableRowCentered"/>
              <w:ind w:left="0"/>
              <w:jc w:val="left"/>
              <w:rPr>
                <w:sz w:val="22"/>
                <w:szCs w:val="22"/>
              </w:rPr>
            </w:pPr>
            <w:r w:rsidRPr="00B1404D">
              <w:rPr>
                <w:szCs w:val="24"/>
              </w:rPr>
              <w:t>Reduction in NEET figures to 0% NEET.</w:t>
            </w:r>
          </w:p>
        </w:tc>
      </w:tr>
      <w:tr w:rsidR="0099379D" w14:paraId="70C4E95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5991E" w14:textId="4C671315" w:rsidR="0099379D" w:rsidRPr="00A94D54" w:rsidRDefault="00A94D54" w:rsidP="00D04309">
            <w:pPr>
              <w:pStyle w:val="TableRow"/>
              <w:ind w:left="0" w:right="0"/>
            </w:pPr>
            <w:r w:rsidRPr="00A94D54">
              <w:t>By Summer 2025 all pupils (particularly disadvantaged) achieve improved attendance and punctuality, including a reduction in persistent absence.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733D" w14:textId="77777777" w:rsidR="006313F1" w:rsidRPr="00B156A2" w:rsidRDefault="006313F1" w:rsidP="006313F1">
            <w:pPr>
              <w:pStyle w:val="TableRowCentered"/>
              <w:ind w:left="0"/>
              <w:jc w:val="left"/>
              <w:rPr>
                <w:szCs w:val="24"/>
              </w:rPr>
            </w:pPr>
            <w:r w:rsidRPr="00B156A2">
              <w:rPr>
                <w:szCs w:val="24"/>
              </w:rPr>
              <w:t>GAA attendance will remain higher than the national average including for pupil premium pupils.</w:t>
            </w:r>
          </w:p>
          <w:p w14:paraId="0AFF6EB1" w14:textId="77777777" w:rsidR="006313F1" w:rsidRPr="00B156A2" w:rsidRDefault="006313F1" w:rsidP="006313F1">
            <w:pPr>
              <w:pStyle w:val="TableRowCentered"/>
              <w:ind w:left="0"/>
              <w:jc w:val="left"/>
              <w:rPr>
                <w:szCs w:val="24"/>
              </w:rPr>
            </w:pPr>
          </w:p>
          <w:p w14:paraId="5F634429" w14:textId="6EBA9553" w:rsidR="006313F1" w:rsidRPr="00B156A2" w:rsidRDefault="006313F1" w:rsidP="006313F1">
            <w:pPr>
              <w:pStyle w:val="TableRowCentered"/>
              <w:ind w:left="0"/>
              <w:jc w:val="left"/>
              <w:rPr>
                <w:szCs w:val="24"/>
              </w:rPr>
            </w:pPr>
            <w:r w:rsidRPr="00B156A2">
              <w:rPr>
                <w:szCs w:val="24"/>
              </w:rPr>
              <w:t>There will be an in-school gap of no more than 2.0% between pupil premium and non-pupil premium pupils for attendance.</w:t>
            </w:r>
          </w:p>
          <w:p w14:paraId="260FB4DC" w14:textId="77777777" w:rsidR="006313F1" w:rsidRPr="00B156A2" w:rsidRDefault="006313F1" w:rsidP="006313F1">
            <w:pPr>
              <w:pStyle w:val="TableRowCentered"/>
              <w:ind w:left="0" w:right="0"/>
              <w:jc w:val="left"/>
              <w:rPr>
                <w:szCs w:val="24"/>
              </w:rPr>
            </w:pPr>
          </w:p>
          <w:p w14:paraId="277FE6C5" w14:textId="752BA2C1" w:rsidR="0099379D" w:rsidRDefault="006313F1" w:rsidP="006313F1">
            <w:pPr>
              <w:pStyle w:val="TableRowCentered"/>
              <w:ind w:left="0" w:right="0"/>
              <w:jc w:val="left"/>
              <w:rPr>
                <w:sz w:val="22"/>
                <w:szCs w:val="22"/>
              </w:rPr>
            </w:pPr>
            <w:r w:rsidRPr="00B156A2">
              <w:rPr>
                <w:szCs w:val="24"/>
              </w:rPr>
              <w:t>PA will be below national average for all groups including pupil premium.</w:t>
            </w:r>
          </w:p>
        </w:tc>
      </w:tr>
    </w:tbl>
    <w:p w14:paraId="60BAD9F6" w14:textId="77777777" w:rsidR="00120AB1" w:rsidRDefault="00120AB1" w:rsidP="00ED5108"/>
    <w:p w14:paraId="2A06959E" w14:textId="2218981A" w:rsidR="00120AB1" w:rsidRDefault="00120AB1" w:rsidP="00BD4B12"/>
    <w:p w14:paraId="25EA2B5A" w14:textId="77777777" w:rsidR="00B71DC7" w:rsidRDefault="00B71DC7">
      <w:pPr>
        <w:suppressAutoHyphens w:val="0"/>
        <w:spacing w:after="0" w:line="240" w:lineRule="auto"/>
        <w:rPr>
          <w:b/>
          <w:color w:val="104F75"/>
          <w:sz w:val="32"/>
          <w:szCs w:val="32"/>
        </w:rPr>
      </w:pPr>
      <w:r>
        <w:br w:type="page"/>
      </w:r>
    </w:p>
    <w:p w14:paraId="2A7D5512" w14:textId="02C3A052" w:rsidR="00E66558" w:rsidRDefault="009D71E8">
      <w:pPr>
        <w:pStyle w:val="Heading2"/>
      </w:pPr>
      <w:r>
        <w:lastRenderedPageBreak/>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89B3F6F" w:rsidR="00E66558" w:rsidRDefault="009D71E8">
      <w:r>
        <w:t xml:space="preserve">Budgeted cost: </w:t>
      </w:r>
      <w:r w:rsidR="006B51E9">
        <w:rPr>
          <w:color w:val="000000" w:themeColor="text1"/>
        </w:rPr>
        <w:t>£435,500</w:t>
      </w:r>
    </w:p>
    <w:tbl>
      <w:tblPr>
        <w:tblW w:w="5000" w:type="pct"/>
        <w:tblLayout w:type="fixed"/>
        <w:tblCellMar>
          <w:left w:w="10" w:type="dxa"/>
          <w:right w:w="10" w:type="dxa"/>
        </w:tblCellMar>
        <w:tblLook w:val="04A0" w:firstRow="1" w:lastRow="0" w:firstColumn="1" w:lastColumn="0" w:noHBand="0" w:noVBand="1"/>
      </w:tblPr>
      <w:tblGrid>
        <w:gridCol w:w="2689"/>
        <w:gridCol w:w="4252"/>
        <w:gridCol w:w="2545"/>
      </w:tblGrid>
      <w:tr w:rsidR="00E66558" w14:paraId="2A7D5519" w14:textId="77777777" w:rsidTr="006D5BE8">
        <w:tc>
          <w:tcPr>
            <w:tcW w:w="268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B156A2" w14:paraId="5A6F32D5" w14:textId="77777777" w:rsidTr="006D5BE8">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E6C0" w14:textId="512C7497" w:rsidR="00B156A2" w:rsidRPr="0069328F" w:rsidRDefault="0069328F" w:rsidP="00C31636">
            <w:pPr>
              <w:pStyle w:val="TableRowCentered"/>
              <w:ind w:left="0" w:right="0"/>
              <w:jc w:val="left"/>
              <w:rPr>
                <w:szCs w:val="24"/>
              </w:rPr>
            </w:pPr>
            <w:r w:rsidRPr="0069328F">
              <w:rPr>
                <w:szCs w:val="24"/>
              </w:rPr>
              <w:t>Developing high-quality teaching, assessment and a broad and balanced, knowledge-based curriculum which responds to the needs of pupils</w:t>
            </w:r>
          </w:p>
        </w:tc>
      </w:tr>
      <w:tr w:rsidR="00E66558" w14:paraId="2A7D551D" w14:textId="77777777" w:rsidTr="006D5BE8">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94C59E3" w:rsidR="00E66558" w:rsidRPr="0069328F" w:rsidRDefault="00630C45" w:rsidP="005F397A">
            <w:pPr>
              <w:pStyle w:val="TableRow"/>
              <w:ind w:left="0" w:right="0"/>
            </w:pPr>
            <w:r w:rsidRPr="00630C45">
              <w:t xml:space="preserve">Ensure Inclusive Quality First Teaching (IQFT) provision for all learners, to ensure interventions outside the classroom become less necessary via robust quality assurance.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BBE95" w14:textId="77777777" w:rsidR="006D5BE8" w:rsidRPr="00800DBD" w:rsidRDefault="006D5BE8" w:rsidP="006D5BE8">
            <w:pPr>
              <w:rPr>
                <w:rFonts w:cs="Arial"/>
                <w:color w:val="000000" w:themeColor="text1"/>
              </w:rPr>
            </w:pPr>
            <w:r w:rsidRPr="00800DBD">
              <w:rPr>
                <w:rFonts w:cs="Arial"/>
                <w:color w:val="000000" w:themeColor="text1"/>
              </w:rPr>
              <w:t xml:space="preserve">EEF- The best available evidence indicates that great teaching is the most important factor to improve pupil attainment. Ensuring every teacher is supported in delivering high-quality teaching is essential to achieving the best outcomes for all pupils, particularly the most disadvantaged among them. </w:t>
            </w:r>
            <w:hyperlink r:id="rId7" w:history="1">
              <w:r w:rsidRPr="00800DBD">
                <w:rPr>
                  <w:rStyle w:val="Hyperlink"/>
                  <w:rFonts w:cs="Arial"/>
                  <w:color w:val="000000" w:themeColor="text1"/>
                </w:rPr>
                <w:t>https://educationendowmentfoundation.org.uk/supportfor-schools/school-improvement-planning/1-highquality-teaching</w:t>
              </w:r>
            </w:hyperlink>
            <w:r w:rsidRPr="00800DBD">
              <w:rPr>
                <w:rFonts w:cs="Arial"/>
                <w:color w:val="000000" w:themeColor="text1"/>
              </w:rPr>
              <w:t xml:space="preserve"> </w:t>
            </w:r>
          </w:p>
          <w:p w14:paraId="2A7D551B" w14:textId="2ADB2C8D" w:rsidR="00E66558" w:rsidRPr="00800DBD" w:rsidRDefault="00B82BA6" w:rsidP="006D5BE8">
            <w:pPr>
              <w:pStyle w:val="TableRowCentered"/>
              <w:ind w:left="0" w:right="0"/>
              <w:jc w:val="left"/>
              <w:rPr>
                <w:rFonts w:cs="Arial"/>
                <w:szCs w:val="24"/>
              </w:rPr>
            </w:pPr>
            <w:hyperlink r:id="rId8" w:history="1">
              <w:r w:rsidR="006D5BE8" w:rsidRPr="00800DBD">
                <w:rPr>
                  <w:rStyle w:val="Hyperlink"/>
                  <w:rFonts w:cs="Arial"/>
                  <w:color w:val="000000" w:themeColor="text1"/>
                  <w:szCs w:val="24"/>
                </w:rPr>
                <w:t>1. High-quality teaching | EEF (educationendowmentfoundation.org.uk)</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D5CC1C6" w:rsidR="00E66558" w:rsidRDefault="00800DBD" w:rsidP="005F397A">
            <w:pPr>
              <w:pStyle w:val="TableRowCentered"/>
              <w:ind w:left="0" w:right="0"/>
              <w:jc w:val="left"/>
              <w:rPr>
                <w:sz w:val="22"/>
              </w:rPr>
            </w:pPr>
            <w:r>
              <w:rPr>
                <w:sz w:val="22"/>
              </w:rPr>
              <w:t>1</w:t>
            </w:r>
          </w:p>
        </w:tc>
      </w:tr>
      <w:tr w:rsidR="0069328F" w14:paraId="57A0D639" w14:textId="77777777" w:rsidTr="006D5BE8">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F041" w14:textId="26B46B4E" w:rsidR="006B0590" w:rsidRPr="006B0590" w:rsidRDefault="006B0590" w:rsidP="00A10C8B">
            <w:pPr>
              <w:pStyle w:val="TableRow"/>
              <w:ind w:left="0"/>
            </w:pPr>
            <w:r w:rsidRPr="006B0590">
              <w:t xml:space="preserve">A strategic Curriculum, Assessment, and Teaching and Learning Team developed, who lead on high-quality curriculum development, assessment, and teaching and learning CPD. This expertise is further enhanced through support from GAET Trust Improvement </w:t>
            </w:r>
            <w:r w:rsidRPr="006B0590">
              <w:lastRenderedPageBreak/>
              <w:t>Networks, which provide speciali</w:t>
            </w:r>
            <w:r w:rsidR="00BE5C97">
              <w:t>s</w:t>
            </w:r>
            <w:r w:rsidRPr="006B0590">
              <w:t>ed assistance for subject curriculum leaders, along with consistent follow-up support.</w:t>
            </w:r>
          </w:p>
          <w:p w14:paraId="6406CA5F" w14:textId="77777777" w:rsidR="006B0590" w:rsidRPr="006B0590" w:rsidRDefault="006B0590" w:rsidP="006B0590">
            <w:pPr>
              <w:pStyle w:val="TableRow"/>
            </w:pPr>
          </w:p>
          <w:p w14:paraId="60529961" w14:textId="738E99C4" w:rsidR="0069328F" w:rsidRDefault="006B0590" w:rsidP="006B0590">
            <w:pPr>
              <w:pStyle w:val="TableRow"/>
              <w:ind w:left="0" w:right="0"/>
              <w:rPr>
                <w:i/>
                <w:iCs/>
                <w:sz w:val="22"/>
                <w:szCs w:val="22"/>
              </w:rPr>
            </w:pPr>
            <w:r w:rsidRPr="006B0590">
              <w:t>Expanded the SLT to include 5 Assistant Principles with individual remits in the areas of curriculum, assessment, and teaching and learning, reading and disciplinary literacy, and pupil premium.</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3008B" w14:textId="15B1DAEE" w:rsidR="0069328F" w:rsidRPr="002102DB" w:rsidRDefault="00B82BA6" w:rsidP="005F397A">
            <w:pPr>
              <w:pStyle w:val="TableRowCentered"/>
              <w:ind w:left="0" w:right="0"/>
              <w:jc w:val="left"/>
              <w:rPr>
                <w:rFonts w:cs="Arial"/>
                <w:szCs w:val="24"/>
              </w:rPr>
            </w:pPr>
            <w:hyperlink r:id="rId9" w:history="1">
              <w:r w:rsidR="002102DB" w:rsidRPr="002102DB">
                <w:rPr>
                  <w:rStyle w:val="Hyperlink"/>
                  <w:rFonts w:cs="Arial"/>
                  <w:szCs w:val="24"/>
                </w:rPr>
                <w:t>https://www.gov.uk/government/collections/curriculum-research-reviews</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2B3E" w14:textId="5B3715E4" w:rsidR="002102DB" w:rsidRDefault="002102DB" w:rsidP="005F397A">
            <w:pPr>
              <w:pStyle w:val="TableRowCentered"/>
              <w:ind w:left="0" w:right="0"/>
              <w:jc w:val="left"/>
              <w:rPr>
                <w:sz w:val="22"/>
              </w:rPr>
            </w:pPr>
            <w:r>
              <w:rPr>
                <w:sz w:val="22"/>
              </w:rPr>
              <w:t>1</w:t>
            </w:r>
            <w:r w:rsidR="006B5445">
              <w:rPr>
                <w:sz w:val="22"/>
              </w:rPr>
              <w:t>, 2</w:t>
            </w:r>
          </w:p>
          <w:p w14:paraId="48C8BA53" w14:textId="1E08CA1D" w:rsidR="002102DB" w:rsidRDefault="002102DB" w:rsidP="005F397A">
            <w:pPr>
              <w:pStyle w:val="TableRowCentered"/>
              <w:ind w:left="0" w:right="0"/>
              <w:jc w:val="left"/>
              <w:rPr>
                <w:sz w:val="22"/>
              </w:rPr>
            </w:pPr>
          </w:p>
        </w:tc>
      </w:tr>
      <w:tr w:rsidR="006B5445" w14:paraId="6DC456A0" w14:textId="77777777" w:rsidTr="00B84CF8">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A3F1" w14:textId="0EE6B74F" w:rsidR="006B5445" w:rsidRPr="00082848" w:rsidRDefault="00082848" w:rsidP="005F397A">
            <w:pPr>
              <w:pStyle w:val="TableRowCentered"/>
              <w:ind w:left="0" w:right="0"/>
              <w:jc w:val="left"/>
              <w:rPr>
                <w:szCs w:val="24"/>
              </w:rPr>
            </w:pPr>
            <w:r w:rsidRPr="00082848">
              <w:rPr>
                <w:szCs w:val="24"/>
              </w:rPr>
              <w:t>Mentoring and coaching for teachers</w:t>
            </w:r>
          </w:p>
        </w:tc>
      </w:tr>
      <w:tr w:rsidR="00E66DE9" w14:paraId="2A7D5521" w14:textId="77777777" w:rsidTr="006D5BE8">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0D1D" w14:textId="77777777" w:rsidR="00E66DE9" w:rsidRPr="00565250" w:rsidRDefault="00E66DE9" w:rsidP="00E66DE9">
            <w:pPr>
              <w:pStyle w:val="TableRow"/>
              <w:ind w:left="0"/>
              <w:rPr>
                <w:rFonts w:cs="Arial"/>
                <w:color w:val="000000" w:themeColor="text1"/>
              </w:rPr>
            </w:pPr>
            <w:r w:rsidRPr="00565250">
              <w:rPr>
                <w:rFonts w:cs="Arial"/>
                <w:color w:val="000000" w:themeColor="text1"/>
              </w:rPr>
              <w:t xml:space="preserve">Engagement with DFE Behaviour Hub programme to further develop learning climate. </w:t>
            </w:r>
          </w:p>
          <w:p w14:paraId="021C0F32" w14:textId="77777777" w:rsidR="00E66DE9" w:rsidRPr="00565250" w:rsidRDefault="00E66DE9" w:rsidP="00E66DE9">
            <w:pPr>
              <w:pStyle w:val="TableRow"/>
              <w:ind w:left="0"/>
              <w:rPr>
                <w:rFonts w:cs="Arial"/>
                <w:color w:val="000000" w:themeColor="text1"/>
              </w:rPr>
            </w:pPr>
            <w:r w:rsidRPr="00565250">
              <w:rPr>
                <w:rFonts w:cs="Arial"/>
                <w:color w:val="000000" w:themeColor="text1"/>
              </w:rPr>
              <w:t>Introduction of whole school strategies to improve whole school culture.</w:t>
            </w:r>
          </w:p>
          <w:p w14:paraId="097F95CF" w14:textId="77777777" w:rsidR="00E66DE9" w:rsidRPr="00565250" w:rsidRDefault="00E66DE9" w:rsidP="00E66DE9">
            <w:pPr>
              <w:pStyle w:val="TableRow"/>
              <w:numPr>
                <w:ilvl w:val="0"/>
                <w:numId w:val="29"/>
              </w:numPr>
              <w:rPr>
                <w:rFonts w:cs="Arial"/>
                <w:color w:val="000000" w:themeColor="text1"/>
              </w:rPr>
            </w:pPr>
            <w:r w:rsidRPr="00565250">
              <w:rPr>
                <w:rFonts w:cs="Arial"/>
                <w:color w:val="000000" w:themeColor="text1"/>
              </w:rPr>
              <w:t xml:space="preserve">Morning Mood – am reset on arrival to school. </w:t>
            </w:r>
          </w:p>
          <w:p w14:paraId="7EA2D2DB" w14:textId="77777777" w:rsidR="00E66DE9" w:rsidRPr="00565250" w:rsidRDefault="00E66DE9" w:rsidP="00E66DE9">
            <w:pPr>
              <w:pStyle w:val="TableRow"/>
              <w:numPr>
                <w:ilvl w:val="0"/>
                <w:numId w:val="29"/>
              </w:numPr>
              <w:rPr>
                <w:rFonts w:cs="Arial"/>
                <w:color w:val="000000" w:themeColor="text1"/>
              </w:rPr>
            </w:pPr>
            <w:r w:rsidRPr="00565250">
              <w:rPr>
                <w:rFonts w:cs="Arial"/>
                <w:color w:val="000000" w:themeColor="text1"/>
              </w:rPr>
              <w:t xml:space="preserve">Social reset at break and lunchtimes. </w:t>
            </w:r>
          </w:p>
          <w:p w14:paraId="47801648" w14:textId="77777777" w:rsidR="00E66DE9" w:rsidRPr="00565250" w:rsidRDefault="00E66DE9" w:rsidP="00E66DE9">
            <w:pPr>
              <w:pStyle w:val="TableRow"/>
              <w:numPr>
                <w:ilvl w:val="0"/>
                <w:numId w:val="29"/>
              </w:numPr>
              <w:rPr>
                <w:rFonts w:cs="Arial"/>
                <w:color w:val="000000" w:themeColor="text1"/>
              </w:rPr>
            </w:pPr>
            <w:r w:rsidRPr="00565250">
              <w:rPr>
                <w:rFonts w:cs="Arial"/>
                <w:color w:val="000000" w:themeColor="text1"/>
              </w:rPr>
              <w:t>Do Now.</w:t>
            </w:r>
          </w:p>
          <w:p w14:paraId="17E3A718" w14:textId="77777777" w:rsidR="00E66DE9" w:rsidRPr="00565250" w:rsidRDefault="00E66DE9" w:rsidP="00E66DE9">
            <w:pPr>
              <w:pStyle w:val="TableRow"/>
              <w:numPr>
                <w:ilvl w:val="0"/>
                <w:numId w:val="29"/>
              </w:numPr>
              <w:rPr>
                <w:rFonts w:cs="Arial"/>
                <w:color w:val="000000" w:themeColor="text1"/>
              </w:rPr>
            </w:pPr>
            <w:r w:rsidRPr="00565250">
              <w:rPr>
                <w:rFonts w:cs="Arial"/>
                <w:color w:val="000000" w:themeColor="text1"/>
              </w:rPr>
              <w:t>Finish now.</w:t>
            </w:r>
          </w:p>
          <w:p w14:paraId="138DFC84" w14:textId="77777777" w:rsidR="00E66DE9" w:rsidRPr="00565250" w:rsidRDefault="00E66DE9" w:rsidP="00E66DE9">
            <w:pPr>
              <w:pStyle w:val="TableRow"/>
              <w:numPr>
                <w:ilvl w:val="0"/>
                <w:numId w:val="29"/>
              </w:numPr>
              <w:rPr>
                <w:rFonts w:cs="Arial"/>
                <w:color w:val="000000" w:themeColor="text1"/>
              </w:rPr>
            </w:pPr>
            <w:r w:rsidRPr="00565250">
              <w:rPr>
                <w:rFonts w:cs="Arial"/>
                <w:color w:val="000000" w:themeColor="text1"/>
              </w:rPr>
              <w:t>Positive framing and de-escalation techniques.</w:t>
            </w:r>
          </w:p>
          <w:p w14:paraId="491D21A7" w14:textId="77777777" w:rsidR="00E66DE9" w:rsidRPr="00565250" w:rsidRDefault="00E66DE9" w:rsidP="00E66DE9">
            <w:pPr>
              <w:pStyle w:val="TableRow"/>
              <w:ind w:left="0"/>
              <w:rPr>
                <w:rFonts w:cs="Arial"/>
                <w:color w:val="000000" w:themeColor="text1"/>
              </w:rPr>
            </w:pPr>
          </w:p>
          <w:p w14:paraId="7DA0EB5E" w14:textId="6D2574B3" w:rsidR="00E66DE9" w:rsidRPr="00565250" w:rsidRDefault="00E66DE9" w:rsidP="00E66DE9">
            <w:pPr>
              <w:pStyle w:val="TableRow"/>
              <w:ind w:left="0"/>
              <w:rPr>
                <w:rFonts w:cs="Arial"/>
                <w:color w:val="000000" w:themeColor="text1"/>
              </w:rPr>
            </w:pPr>
            <w:r w:rsidRPr="00565250">
              <w:rPr>
                <w:rFonts w:cs="Arial"/>
                <w:color w:val="000000" w:themeColor="text1"/>
              </w:rPr>
              <w:t>Expanding the SLT to include an additional Assistant Principal to support positive framing, d</w:t>
            </w:r>
            <w:r w:rsidR="00A10C8B">
              <w:rPr>
                <w:rFonts w:cs="Arial"/>
                <w:color w:val="000000" w:themeColor="text1"/>
              </w:rPr>
              <w:t>e-</w:t>
            </w:r>
            <w:r w:rsidR="00A10C8B" w:rsidRPr="00565250">
              <w:rPr>
                <w:rFonts w:cs="Arial"/>
                <w:color w:val="000000" w:themeColor="text1"/>
              </w:rPr>
              <w:t>escalation</w:t>
            </w:r>
            <w:r w:rsidRPr="00565250">
              <w:rPr>
                <w:rFonts w:cs="Arial"/>
                <w:color w:val="000000" w:themeColor="text1"/>
              </w:rPr>
              <w:t xml:space="preserve"> and celebration of positive behaviour for learning choices.</w:t>
            </w:r>
          </w:p>
          <w:p w14:paraId="21725DFA" w14:textId="77777777" w:rsidR="00E66DE9" w:rsidRPr="00565250" w:rsidRDefault="00E66DE9" w:rsidP="00E66DE9">
            <w:pPr>
              <w:pStyle w:val="TableRow"/>
              <w:ind w:left="0"/>
              <w:rPr>
                <w:rFonts w:cs="Arial"/>
                <w:color w:val="000000" w:themeColor="text1"/>
              </w:rPr>
            </w:pPr>
          </w:p>
          <w:p w14:paraId="3B8BF7CB" w14:textId="77777777" w:rsidR="00E66DE9" w:rsidRPr="00565250" w:rsidRDefault="00E66DE9" w:rsidP="00E66DE9">
            <w:pPr>
              <w:pStyle w:val="TableRow"/>
              <w:ind w:left="0"/>
              <w:rPr>
                <w:rFonts w:cs="Arial"/>
                <w:color w:val="000000" w:themeColor="text1"/>
              </w:rPr>
            </w:pPr>
            <w:r w:rsidRPr="00565250">
              <w:rPr>
                <w:rFonts w:cs="Arial"/>
                <w:color w:val="000000" w:themeColor="text1"/>
              </w:rPr>
              <w:t>CPD to support staffs understanding and ability to apply behaviour for learning strategies.</w:t>
            </w:r>
          </w:p>
          <w:p w14:paraId="03ADF487" w14:textId="77777777" w:rsidR="00E66DE9" w:rsidRPr="00565250" w:rsidRDefault="00E66DE9" w:rsidP="00E66DE9">
            <w:pPr>
              <w:pStyle w:val="TableRow"/>
              <w:numPr>
                <w:ilvl w:val="0"/>
                <w:numId w:val="28"/>
              </w:numPr>
              <w:rPr>
                <w:rFonts w:cs="Arial"/>
                <w:color w:val="000000" w:themeColor="text1"/>
              </w:rPr>
            </w:pPr>
            <w:r w:rsidRPr="00565250">
              <w:rPr>
                <w:rFonts w:cs="Arial"/>
                <w:color w:val="000000" w:themeColor="text1"/>
              </w:rPr>
              <w:t xml:space="preserve">Deliberate Practice. </w:t>
            </w:r>
          </w:p>
          <w:p w14:paraId="438A80FC" w14:textId="77777777" w:rsidR="00E66DE9" w:rsidRPr="00565250" w:rsidRDefault="00E66DE9" w:rsidP="00E66DE9">
            <w:pPr>
              <w:pStyle w:val="TableRow"/>
              <w:numPr>
                <w:ilvl w:val="0"/>
                <w:numId w:val="28"/>
              </w:numPr>
              <w:rPr>
                <w:rFonts w:cs="Arial"/>
                <w:color w:val="000000" w:themeColor="text1"/>
              </w:rPr>
            </w:pPr>
            <w:r w:rsidRPr="00565250">
              <w:rPr>
                <w:rFonts w:cs="Arial"/>
                <w:color w:val="000000" w:themeColor="text1"/>
              </w:rPr>
              <w:t>Inset.</w:t>
            </w:r>
          </w:p>
          <w:p w14:paraId="33832840" w14:textId="77777777" w:rsidR="00E66DE9" w:rsidRPr="00565250" w:rsidRDefault="00E66DE9" w:rsidP="00E66DE9">
            <w:pPr>
              <w:pStyle w:val="TableRow"/>
              <w:numPr>
                <w:ilvl w:val="0"/>
                <w:numId w:val="28"/>
              </w:numPr>
              <w:rPr>
                <w:rFonts w:cs="Arial"/>
                <w:color w:val="000000" w:themeColor="text1"/>
              </w:rPr>
            </w:pPr>
            <w:r w:rsidRPr="00565250">
              <w:rPr>
                <w:rFonts w:cs="Arial"/>
                <w:color w:val="000000" w:themeColor="text1"/>
              </w:rPr>
              <w:t>Twilight.</w:t>
            </w:r>
          </w:p>
          <w:p w14:paraId="49ABFDE2" w14:textId="77777777" w:rsidR="00E66DE9" w:rsidRPr="00565250" w:rsidRDefault="00E66DE9" w:rsidP="00E66DE9">
            <w:pPr>
              <w:pStyle w:val="TableRow"/>
              <w:numPr>
                <w:ilvl w:val="0"/>
                <w:numId w:val="28"/>
              </w:numPr>
              <w:rPr>
                <w:rFonts w:cs="Arial"/>
                <w:color w:val="000000" w:themeColor="text1"/>
              </w:rPr>
            </w:pPr>
            <w:r w:rsidRPr="00565250">
              <w:rPr>
                <w:rFonts w:cs="Arial"/>
                <w:color w:val="000000" w:themeColor="text1"/>
              </w:rPr>
              <w:t>Teacher guidance booklets, bulletins, external links to shared best practise.</w:t>
            </w:r>
          </w:p>
          <w:p w14:paraId="6637B0C0" w14:textId="77777777" w:rsidR="00E66DE9" w:rsidRPr="00565250" w:rsidRDefault="00E66DE9" w:rsidP="00E66DE9">
            <w:pPr>
              <w:pStyle w:val="TableRow"/>
              <w:ind w:left="0"/>
              <w:rPr>
                <w:rFonts w:cs="Arial"/>
                <w:color w:val="000000" w:themeColor="text1"/>
              </w:rPr>
            </w:pPr>
          </w:p>
          <w:p w14:paraId="018493F0" w14:textId="77777777" w:rsidR="00E66DE9" w:rsidRPr="00565250" w:rsidRDefault="00E66DE9" w:rsidP="00E66DE9">
            <w:pPr>
              <w:pStyle w:val="TableRow"/>
              <w:ind w:left="0"/>
              <w:rPr>
                <w:rFonts w:cs="Arial"/>
                <w:b/>
                <w:bCs/>
                <w:color w:val="auto"/>
              </w:rPr>
            </w:pPr>
            <w:r w:rsidRPr="00565250">
              <w:rPr>
                <w:rFonts w:cs="Arial"/>
                <w:color w:val="000000" w:themeColor="text1"/>
              </w:rPr>
              <w:t xml:space="preserve">Appraisal targets linked to behaviour for learning </w:t>
            </w:r>
            <w:r w:rsidRPr="00565250">
              <w:rPr>
                <w:rFonts w:cs="Arial"/>
                <w:color w:val="auto"/>
              </w:rPr>
              <w:t>for all staff to ensure it embeds</w:t>
            </w:r>
            <w:r w:rsidRPr="00565250">
              <w:rPr>
                <w:rFonts w:cs="Arial"/>
                <w:b/>
                <w:bCs/>
                <w:color w:val="auto"/>
              </w:rPr>
              <w:t>.</w:t>
            </w:r>
          </w:p>
          <w:p w14:paraId="562C1E06" w14:textId="77777777" w:rsidR="00E66DE9" w:rsidRPr="00565250" w:rsidRDefault="00E66DE9" w:rsidP="00E66DE9">
            <w:pPr>
              <w:pStyle w:val="TableRow"/>
              <w:ind w:left="0"/>
              <w:rPr>
                <w:rFonts w:cs="Arial"/>
                <w:b/>
                <w:bCs/>
                <w:color w:val="auto"/>
              </w:rPr>
            </w:pPr>
          </w:p>
          <w:p w14:paraId="7588C317" w14:textId="77777777" w:rsidR="00E66DE9" w:rsidRPr="00565250" w:rsidRDefault="00E66DE9" w:rsidP="00E66DE9">
            <w:pPr>
              <w:pStyle w:val="TableRow"/>
              <w:ind w:left="0"/>
              <w:rPr>
                <w:rFonts w:cs="Arial"/>
                <w:color w:val="000000" w:themeColor="text1"/>
              </w:rPr>
            </w:pPr>
            <w:r w:rsidRPr="00565250">
              <w:rPr>
                <w:rFonts w:cs="Arial"/>
                <w:color w:val="000000" w:themeColor="text1"/>
              </w:rPr>
              <w:t xml:space="preserve">Part of a Relational Inclusion Pilot ran by Tameside PRU to ensure relational approaches to behaviour are present in the Academy.   </w:t>
            </w:r>
          </w:p>
          <w:p w14:paraId="1AB138C7" w14:textId="77777777" w:rsidR="00E66DE9" w:rsidRPr="00565250" w:rsidRDefault="00E66DE9" w:rsidP="00E66DE9">
            <w:pPr>
              <w:pStyle w:val="TableRow"/>
              <w:ind w:left="0"/>
              <w:rPr>
                <w:rFonts w:cs="Arial"/>
                <w:color w:val="000000" w:themeColor="text1"/>
              </w:rPr>
            </w:pPr>
          </w:p>
          <w:p w14:paraId="1BDBE1AB" w14:textId="5740F1CA" w:rsidR="00E66DE9" w:rsidRPr="00565250" w:rsidRDefault="00E66DE9" w:rsidP="00E66DE9">
            <w:pPr>
              <w:pStyle w:val="TableRow"/>
              <w:ind w:left="0"/>
              <w:rPr>
                <w:rFonts w:cs="Arial"/>
                <w:color w:val="000000" w:themeColor="text1"/>
              </w:rPr>
            </w:pPr>
            <w:r w:rsidRPr="00565250">
              <w:rPr>
                <w:rFonts w:cs="Arial"/>
                <w:color w:val="000000" w:themeColor="text1"/>
              </w:rPr>
              <w:t>Increase in number of Twilight training sessions with a focus on relational inclusion and behaviour training.</w:t>
            </w:r>
          </w:p>
          <w:p w14:paraId="2A7D551E" w14:textId="77777777" w:rsidR="00E66DE9" w:rsidRPr="00565250" w:rsidRDefault="00E66DE9" w:rsidP="00E66DE9">
            <w:pPr>
              <w:pStyle w:val="TableRow"/>
              <w:ind w:left="0" w:right="0"/>
              <w:rPr>
                <w:rFonts w:cs="Arial"/>
                <w:i/>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50E9B" w14:textId="77777777" w:rsidR="00E66DE9" w:rsidRPr="00E66DE9" w:rsidRDefault="00E66DE9" w:rsidP="00E66DE9">
            <w:pPr>
              <w:rPr>
                <w:rFonts w:cs="Arial"/>
                <w:color w:val="000000" w:themeColor="text1"/>
              </w:rPr>
            </w:pPr>
            <w:r w:rsidRPr="00E66DE9">
              <w:rPr>
                <w:rFonts w:cs="Arial"/>
                <w:color w:val="000000" w:themeColor="text1"/>
              </w:rPr>
              <w:lastRenderedPageBreak/>
              <w:t xml:space="preserve">Government DfE Pathfinder Behaviour Hub. </w:t>
            </w:r>
          </w:p>
          <w:p w14:paraId="307E0AD4" w14:textId="77777777" w:rsidR="00E66DE9" w:rsidRPr="00E66DE9" w:rsidRDefault="00E66DE9" w:rsidP="00E66DE9">
            <w:pPr>
              <w:rPr>
                <w:rFonts w:cs="Arial"/>
                <w:color w:val="000000" w:themeColor="text1"/>
              </w:rPr>
            </w:pPr>
            <w:r w:rsidRPr="00E66DE9">
              <w:rPr>
                <w:rFonts w:cs="Arial"/>
                <w:color w:val="000000" w:themeColor="text1"/>
              </w:rPr>
              <w:t>EEF Behaviour interventions +3 Months. Meta cognition and self-regulation EEF +7</w:t>
            </w:r>
          </w:p>
          <w:p w14:paraId="6E723B88" w14:textId="77777777" w:rsidR="00E66DE9" w:rsidRPr="00E66DE9" w:rsidRDefault="00E66DE9" w:rsidP="00E66DE9">
            <w:pPr>
              <w:rPr>
                <w:rFonts w:cs="Arial"/>
                <w:color w:val="000000" w:themeColor="text1"/>
              </w:rPr>
            </w:pPr>
            <w:r w:rsidRPr="00E66DE9">
              <w:rPr>
                <w:rFonts w:cs="Arial"/>
                <w:color w:val="000000" w:themeColor="text1"/>
              </w:rPr>
              <w:t>Teaching metacognitive strategies to pupils can be an inexpensive method to help pupils become more independent learners. There is particularly strong evidence that it can have a positive impact on maths attainment. Metacognition and self-regulation | Toolkit Strand | Education Endowment Foundation | EEF</w:t>
            </w:r>
          </w:p>
          <w:p w14:paraId="0F6D395B" w14:textId="77777777" w:rsidR="00E66DE9" w:rsidRPr="00E66DE9" w:rsidRDefault="00B82BA6" w:rsidP="00E66DE9">
            <w:pPr>
              <w:rPr>
                <w:rFonts w:cs="Arial"/>
                <w:color w:val="000000" w:themeColor="text1"/>
              </w:rPr>
            </w:pPr>
            <w:hyperlink r:id="rId10" w:history="1">
              <w:r w:rsidR="00E66DE9" w:rsidRPr="00E66DE9">
                <w:rPr>
                  <w:rStyle w:val="Hyperlink"/>
                  <w:rFonts w:cs="Arial"/>
                </w:rPr>
                <w:t>https://assets.publishing.service.gov.uk/media/651d42d86a6955001278b2af/Behaviour_in_schools_guidance.pdf</w:t>
              </w:r>
            </w:hyperlink>
            <w:r w:rsidR="00E66DE9" w:rsidRPr="00E66DE9">
              <w:rPr>
                <w:rFonts w:cs="Arial"/>
                <w:color w:val="000000" w:themeColor="text1"/>
              </w:rPr>
              <w:t xml:space="preserve"> </w:t>
            </w:r>
          </w:p>
          <w:p w14:paraId="23925557" w14:textId="77777777" w:rsidR="00E66DE9" w:rsidRPr="00E66DE9" w:rsidRDefault="00B82BA6" w:rsidP="00E66DE9">
            <w:pPr>
              <w:rPr>
                <w:rFonts w:cs="Arial"/>
                <w:color w:val="000000" w:themeColor="text1"/>
              </w:rPr>
            </w:pPr>
            <w:hyperlink r:id="rId11" w:history="1">
              <w:r w:rsidR="00E66DE9" w:rsidRPr="00E66DE9">
                <w:rPr>
                  <w:rStyle w:val="Hyperlink"/>
                  <w:rFonts w:cs="Arial"/>
                </w:rPr>
                <w:t>https://d2tic4wvo1iusb.cloudfront.net/production/eef-guidance-reports/behaviour/EEF_Improving_behaviour_in_schools_Report.pdf?v=1702292849</w:t>
              </w:r>
            </w:hyperlink>
            <w:r w:rsidR="00E66DE9" w:rsidRPr="00E66DE9">
              <w:rPr>
                <w:rFonts w:cs="Arial"/>
                <w:color w:val="000000" w:themeColor="text1"/>
              </w:rPr>
              <w:t xml:space="preserve"> </w:t>
            </w:r>
          </w:p>
          <w:p w14:paraId="297EC1E3" w14:textId="77777777" w:rsidR="00E66DE9" w:rsidRPr="00E66DE9" w:rsidRDefault="00E66DE9" w:rsidP="00E66DE9">
            <w:pPr>
              <w:rPr>
                <w:rFonts w:cs="Arial"/>
                <w:color w:val="000000" w:themeColor="text1"/>
              </w:rPr>
            </w:pPr>
            <w:r w:rsidRPr="00E66DE9">
              <w:rPr>
                <w:rFonts w:cs="Arial"/>
                <w:color w:val="000000" w:themeColor="text1"/>
              </w:rPr>
              <w:lastRenderedPageBreak/>
              <w:t>Doug Lemov ‘Teach Like a Champion’</w:t>
            </w:r>
          </w:p>
          <w:p w14:paraId="7EE0DD2E" w14:textId="77777777" w:rsidR="00E66DE9" w:rsidRPr="00E66DE9" w:rsidRDefault="00E66DE9" w:rsidP="00E66DE9">
            <w:pPr>
              <w:rPr>
                <w:rFonts w:cs="Arial"/>
                <w:color w:val="000000" w:themeColor="text1"/>
              </w:rPr>
            </w:pPr>
            <w:r w:rsidRPr="00E66DE9">
              <w:rPr>
                <w:rFonts w:cs="Arial"/>
                <w:color w:val="000000" w:themeColor="text1"/>
              </w:rPr>
              <w:t xml:space="preserve">Tom Sherrington Walk </w:t>
            </w:r>
            <w:proofErr w:type="spellStart"/>
            <w:r w:rsidRPr="00E66DE9">
              <w:rPr>
                <w:rFonts w:cs="Arial"/>
                <w:color w:val="000000" w:themeColor="text1"/>
              </w:rPr>
              <w:t>Thrus</w:t>
            </w:r>
            <w:proofErr w:type="spellEnd"/>
            <w:r w:rsidRPr="00E66DE9">
              <w:rPr>
                <w:rFonts w:cs="Arial"/>
                <w:color w:val="000000" w:themeColor="text1"/>
              </w:rPr>
              <w:t>.</w:t>
            </w:r>
          </w:p>
          <w:p w14:paraId="13922500" w14:textId="77777777" w:rsidR="00E66DE9" w:rsidRPr="00E66DE9" w:rsidRDefault="00E66DE9" w:rsidP="00E66DE9">
            <w:pPr>
              <w:pStyle w:val="paragraph"/>
              <w:spacing w:before="0" w:beforeAutospacing="0" w:after="0" w:afterAutospacing="0"/>
              <w:textAlignment w:val="baseline"/>
              <w:rPr>
                <w:rStyle w:val="eop"/>
                <w:rFonts w:ascii="Arial" w:hAnsi="Arial" w:cs="Arial"/>
                <w:color w:val="000000"/>
              </w:rPr>
            </w:pPr>
            <w:r w:rsidRPr="00E66DE9">
              <w:rPr>
                <w:rStyle w:val="normaltextrun"/>
                <w:rFonts w:ascii="Arial" w:hAnsi="Arial" w:cs="Arial"/>
                <w:color w:val="000000"/>
              </w:rPr>
              <w:t>Whole Staff training delivered by Relational Inclusion lead.</w:t>
            </w:r>
            <w:r w:rsidRPr="00E66DE9">
              <w:rPr>
                <w:rStyle w:val="eop"/>
                <w:rFonts w:ascii="Arial" w:hAnsi="Arial" w:cs="Arial"/>
                <w:color w:val="000000"/>
              </w:rPr>
              <w:t> </w:t>
            </w:r>
          </w:p>
          <w:p w14:paraId="68A22B11" w14:textId="77777777" w:rsidR="00E66DE9" w:rsidRPr="00E66DE9" w:rsidRDefault="00E66DE9" w:rsidP="00E66DE9">
            <w:pPr>
              <w:pStyle w:val="paragraph"/>
              <w:spacing w:before="0" w:beforeAutospacing="0" w:after="0" w:afterAutospacing="0"/>
              <w:textAlignment w:val="baseline"/>
              <w:rPr>
                <w:rFonts w:ascii="Arial" w:hAnsi="Arial" w:cs="Arial"/>
                <w:color w:val="0D0D0D"/>
              </w:rPr>
            </w:pPr>
          </w:p>
          <w:p w14:paraId="305B229D" w14:textId="77777777" w:rsidR="00E66DE9" w:rsidRPr="00E66DE9" w:rsidRDefault="00E66DE9" w:rsidP="00E66DE9">
            <w:pPr>
              <w:pStyle w:val="paragraph"/>
              <w:spacing w:before="0" w:beforeAutospacing="0" w:after="0" w:afterAutospacing="0"/>
              <w:textAlignment w:val="baseline"/>
              <w:rPr>
                <w:rFonts w:ascii="Arial" w:hAnsi="Arial" w:cs="Arial"/>
                <w:color w:val="0D0D0D"/>
              </w:rPr>
            </w:pPr>
            <w:r w:rsidRPr="00E66DE9">
              <w:rPr>
                <w:rStyle w:val="normaltextrun"/>
                <w:rFonts w:ascii="Arial" w:hAnsi="Arial" w:cs="Arial"/>
                <w:color w:val="000000"/>
              </w:rPr>
              <w:t>Optional CPD for staff to develop relational inclusion practice.</w:t>
            </w:r>
            <w:r w:rsidRPr="00E66DE9">
              <w:rPr>
                <w:rStyle w:val="eop"/>
                <w:rFonts w:ascii="Arial" w:hAnsi="Arial" w:cs="Arial"/>
                <w:color w:val="000000"/>
              </w:rPr>
              <w:t> </w:t>
            </w:r>
          </w:p>
          <w:p w14:paraId="2A7D551F" w14:textId="77777777" w:rsidR="00E66DE9" w:rsidRPr="00E66DE9" w:rsidRDefault="00E66DE9" w:rsidP="00E66DE9">
            <w:pPr>
              <w:pStyle w:val="TableRowCentered"/>
              <w:ind w:left="0" w:right="0"/>
              <w:jc w:val="left"/>
              <w:rPr>
                <w:rFonts w:cs="Arial"/>
                <w:szCs w:val="24"/>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7140CB2" w:rsidR="00E66DE9" w:rsidRDefault="00E66DE9" w:rsidP="00E66DE9">
            <w:pPr>
              <w:pStyle w:val="TableRowCentered"/>
              <w:ind w:left="0" w:right="0"/>
              <w:jc w:val="left"/>
              <w:rPr>
                <w:sz w:val="22"/>
              </w:rPr>
            </w:pPr>
            <w:r>
              <w:rPr>
                <w:sz w:val="22"/>
              </w:rPr>
              <w:lastRenderedPageBreak/>
              <w:t>3, 4</w:t>
            </w:r>
          </w:p>
        </w:tc>
      </w:tr>
      <w:tr w:rsidR="00E66DE9" w14:paraId="71B9C58D" w14:textId="77777777" w:rsidTr="006D5BE8">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B4AA" w14:textId="77777777" w:rsidR="008807D7" w:rsidRPr="008807D7" w:rsidRDefault="008807D7" w:rsidP="008807D7">
            <w:pPr>
              <w:pStyle w:val="TableRow"/>
              <w:ind w:left="0"/>
              <w:rPr>
                <w:iCs/>
              </w:rPr>
            </w:pPr>
            <w:r w:rsidRPr="008807D7">
              <w:rPr>
                <w:iCs/>
              </w:rPr>
              <w:t xml:space="preserve">Lead practitioners in maths to support the quality of curriculum, assessment and teaching and learning. </w:t>
            </w:r>
          </w:p>
          <w:p w14:paraId="224E9834" w14:textId="77777777" w:rsidR="008807D7" w:rsidRPr="008807D7" w:rsidRDefault="008807D7" w:rsidP="008807D7">
            <w:pPr>
              <w:pStyle w:val="TableRow"/>
              <w:rPr>
                <w:iCs/>
              </w:rPr>
            </w:pPr>
          </w:p>
          <w:p w14:paraId="6A0C4F24" w14:textId="3C31D071" w:rsidR="00E66DE9" w:rsidRDefault="008807D7" w:rsidP="008807D7">
            <w:pPr>
              <w:pStyle w:val="TableRow"/>
              <w:ind w:left="0" w:right="0"/>
              <w:rPr>
                <w:i/>
                <w:sz w:val="22"/>
              </w:rPr>
            </w:pPr>
            <w:r w:rsidRPr="008807D7">
              <w:rPr>
                <w:iCs/>
              </w:rPr>
              <w:t xml:space="preserve">Additional members of staff to support Gateway provision </w:t>
            </w:r>
            <w:r w:rsidRPr="008807D7">
              <w:rPr>
                <w:iCs/>
              </w:rPr>
              <w:lastRenderedPageBreak/>
              <w:t>(most vulnerable learners.)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65FD7" w14:textId="77777777" w:rsidR="000F5BB5" w:rsidRPr="000F5BB5" w:rsidRDefault="000F5BB5" w:rsidP="000F5BB5">
            <w:pPr>
              <w:spacing w:after="0" w:line="240" w:lineRule="auto"/>
              <w:rPr>
                <w:rFonts w:cs="Arial"/>
                <w:color w:val="000000" w:themeColor="text1"/>
              </w:rPr>
            </w:pPr>
            <w:r w:rsidRPr="000F5BB5">
              <w:rPr>
                <w:rFonts w:cs="Arial"/>
                <w:color w:val="000000" w:themeColor="text1"/>
              </w:rPr>
              <w:lastRenderedPageBreak/>
              <w:t xml:space="preserve">‘Good teaching is the most important lever schools have to improve outcomes for disadvantaged pupils’ - Education Endowment Foundation, Guide to the Pupil Premium (London: 2019) </w:t>
            </w:r>
          </w:p>
          <w:p w14:paraId="698795D7" w14:textId="77777777" w:rsidR="000F5BB5" w:rsidRPr="000F5BB5" w:rsidRDefault="000F5BB5" w:rsidP="000F5BB5">
            <w:pPr>
              <w:spacing w:after="0" w:line="240" w:lineRule="auto"/>
              <w:rPr>
                <w:rFonts w:cs="Arial"/>
                <w:color w:val="000000" w:themeColor="text1"/>
              </w:rPr>
            </w:pPr>
          </w:p>
          <w:p w14:paraId="118C580A" w14:textId="77777777" w:rsidR="000F5BB5" w:rsidRPr="000F5BB5" w:rsidRDefault="000F5BB5" w:rsidP="000F5BB5">
            <w:pPr>
              <w:spacing w:after="0" w:line="240" w:lineRule="auto"/>
              <w:rPr>
                <w:rFonts w:cs="Arial"/>
                <w:color w:val="000000" w:themeColor="text1"/>
              </w:rPr>
            </w:pPr>
            <w:r w:rsidRPr="000F5BB5">
              <w:rPr>
                <w:rFonts w:cs="Arial"/>
                <w:color w:val="000000" w:themeColor="text1"/>
              </w:rPr>
              <w:t xml:space="preserve"> ‘In classrooms of the most effective teachers, pupils from disadvantaged backgrounds learn just as much as those from advantaged backgrounds’ </w:t>
            </w:r>
            <w:r w:rsidRPr="000F5BB5">
              <w:rPr>
                <w:rFonts w:cs="Arial"/>
                <w:color w:val="000000" w:themeColor="text1"/>
              </w:rPr>
              <w:lastRenderedPageBreak/>
              <w:t xml:space="preserve">- Department for Education, Supporting the attainment of disadvantaged pupils (London: 2015) </w:t>
            </w:r>
          </w:p>
          <w:p w14:paraId="501A1F92" w14:textId="77777777" w:rsidR="000F5BB5" w:rsidRPr="000F5BB5" w:rsidRDefault="000F5BB5" w:rsidP="000F5BB5">
            <w:pPr>
              <w:spacing w:after="0" w:line="240" w:lineRule="auto"/>
              <w:rPr>
                <w:rFonts w:cs="Arial"/>
                <w:color w:val="000000" w:themeColor="text1"/>
              </w:rPr>
            </w:pPr>
          </w:p>
          <w:p w14:paraId="1539F6C3" w14:textId="77777777" w:rsidR="000F5BB5" w:rsidRPr="000F5BB5" w:rsidRDefault="000F5BB5" w:rsidP="000F5BB5">
            <w:pPr>
              <w:spacing w:after="0" w:line="240" w:lineRule="auto"/>
              <w:rPr>
                <w:rFonts w:cs="Arial"/>
                <w:color w:val="000000" w:themeColor="text1"/>
              </w:rPr>
            </w:pPr>
            <w:r w:rsidRPr="000F5BB5">
              <w:rPr>
                <w:rFonts w:cs="Arial"/>
                <w:color w:val="000000" w:themeColor="text1"/>
              </w:rPr>
              <w:t>‘The effects of high-quality teaching are especially significant for pupils from disadvantaged backgrounds: over one school year, these pupils gain 1.5 years’ worth of learning with very effective teachers, compared with 0.5 years with average 3, 5,10 6 performing teachers’ - Sutton Trust, Interim Report (London: 2011)</w:t>
            </w:r>
          </w:p>
          <w:p w14:paraId="6BBC5EB2" w14:textId="77777777" w:rsidR="000F5BB5" w:rsidRPr="000F5BB5" w:rsidRDefault="000F5BB5" w:rsidP="000F5BB5">
            <w:pPr>
              <w:rPr>
                <w:rFonts w:cs="Arial"/>
                <w:color w:val="000000" w:themeColor="text1"/>
                <w:highlight w:val="green"/>
              </w:rPr>
            </w:pPr>
          </w:p>
          <w:p w14:paraId="3489B3EC" w14:textId="77777777" w:rsidR="000F5BB5" w:rsidRPr="000F5BB5" w:rsidRDefault="00B82BA6" w:rsidP="000F5BB5">
            <w:pPr>
              <w:rPr>
                <w:rFonts w:cs="Arial"/>
                <w:color w:val="000000" w:themeColor="text1"/>
                <w:highlight w:val="green"/>
              </w:rPr>
            </w:pPr>
            <w:hyperlink r:id="rId12" w:history="1">
              <w:r w:rsidR="000F5BB5" w:rsidRPr="000F5BB5">
                <w:rPr>
                  <w:rStyle w:val="Hyperlink"/>
                  <w:rFonts w:cs="Arial"/>
                  <w:color w:val="000000" w:themeColor="text1"/>
                </w:rPr>
                <w:t>EEF blog: Anchoring Curriculum Knowledge Using Metacognitive… | EEF (educationendowmentfoundation.org.uk)</w:t>
              </w:r>
            </w:hyperlink>
          </w:p>
          <w:p w14:paraId="21C835E2" w14:textId="77777777" w:rsidR="000F5BB5" w:rsidRPr="000F5BB5" w:rsidRDefault="00B82BA6" w:rsidP="000F5BB5">
            <w:pPr>
              <w:rPr>
                <w:rFonts w:cs="Arial"/>
                <w:color w:val="000000" w:themeColor="text1"/>
              </w:rPr>
            </w:pPr>
            <w:hyperlink r:id="rId13" w:history="1">
              <w:r w:rsidR="000F5BB5" w:rsidRPr="000F5BB5">
                <w:rPr>
                  <w:rStyle w:val="Hyperlink"/>
                  <w:rFonts w:cs="Arial"/>
                  <w:color w:val="000000" w:themeColor="text1"/>
                </w:rPr>
                <w:t>Metacognition and Self-regulated Learning | EEF (educationendowmentfoundation.org.uk)</w:t>
              </w:r>
            </w:hyperlink>
          </w:p>
          <w:p w14:paraId="75451847" w14:textId="18C7EE14" w:rsidR="00E66DE9" w:rsidRPr="000F5BB5" w:rsidRDefault="00B82BA6" w:rsidP="000F5BB5">
            <w:pPr>
              <w:pStyle w:val="TableRowCentered"/>
              <w:ind w:left="0" w:right="0"/>
              <w:jc w:val="left"/>
              <w:rPr>
                <w:rFonts w:cs="Arial"/>
                <w:szCs w:val="24"/>
              </w:rPr>
            </w:pPr>
            <w:hyperlink r:id="rId14" w:history="1">
              <w:r w:rsidR="000F5BB5" w:rsidRPr="000F5BB5">
                <w:rPr>
                  <w:rStyle w:val="Hyperlink"/>
                  <w:rFonts w:cs="Arial"/>
                  <w:color w:val="000000" w:themeColor="text1"/>
                  <w:szCs w:val="24"/>
                </w:rPr>
                <w:t>Summary_of_recommendations_poster_2021-10-27-151056_qiiz_2021-10-29-074723_miux.pdf (d2tic4wvo1iusb.cloudfront.net)</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153D3" w14:textId="6E602614" w:rsidR="00E66DE9" w:rsidRDefault="000F5BB5" w:rsidP="00E66DE9">
            <w:pPr>
              <w:pStyle w:val="TableRowCentered"/>
              <w:ind w:left="0" w:right="0"/>
              <w:jc w:val="left"/>
              <w:rPr>
                <w:sz w:val="22"/>
              </w:rPr>
            </w:pPr>
            <w:r>
              <w:rPr>
                <w:sz w:val="22"/>
              </w:rPr>
              <w:lastRenderedPageBreak/>
              <w:t>1, 2</w:t>
            </w:r>
          </w:p>
        </w:tc>
      </w:tr>
      <w:tr w:rsidR="000F5BB5" w14:paraId="11DC0D38" w14:textId="77777777" w:rsidTr="00281C99">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E09D6" w14:textId="0689A5CB" w:rsidR="000F5BB5" w:rsidRPr="00B3743E" w:rsidRDefault="00B3743E" w:rsidP="00E66DE9">
            <w:pPr>
              <w:pStyle w:val="TableRowCentered"/>
              <w:ind w:left="0" w:right="0"/>
              <w:jc w:val="left"/>
              <w:rPr>
                <w:szCs w:val="24"/>
              </w:rPr>
            </w:pPr>
            <w:r w:rsidRPr="00B3743E">
              <w:rPr>
                <w:szCs w:val="24"/>
              </w:rPr>
              <w:t xml:space="preserve">Professional development to support the implementation of evidence-based approaches, for example training provided by a DfE validated systematic synthetic phonics programme, </w:t>
            </w:r>
            <w:proofErr w:type="gramStart"/>
            <w:r w:rsidRPr="00B3743E">
              <w:rPr>
                <w:szCs w:val="24"/>
              </w:rPr>
              <w:t>mastery based</w:t>
            </w:r>
            <w:proofErr w:type="gramEnd"/>
            <w:r w:rsidRPr="00B3743E">
              <w:rPr>
                <w:szCs w:val="24"/>
              </w:rPr>
              <w:t xml:space="preserve"> approaches to teaching or feedback.</w:t>
            </w:r>
          </w:p>
        </w:tc>
      </w:tr>
      <w:tr w:rsidR="008349A9" w14:paraId="06975101" w14:textId="77777777" w:rsidTr="006D5BE8">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F0D96" w14:textId="77777777" w:rsidR="008349A9" w:rsidRPr="008349A9" w:rsidRDefault="008349A9" w:rsidP="008349A9">
            <w:pPr>
              <w:pStyle w:val="TableRow"/>
              <w:ind w:left="0"/>
              <w:rPr>
                <w:rFonts w:cs="Arial"/>
                <w:color w:val="000000" w:themeColor="text1"/>
              </w:rPr>
            </w:pPr>
            <w:r w:rsidRPr="008349A9">
              <w:rPr>
                <w:rFonts w:cs="Arial"/>
                <w:color w:val="000000" w:themeColor="text1"/>
              </w:rPr>
              <w:t xml:space="preserve">A whole school focus of the SSAT Dylan Wiliams EFA Programme. </w:t>
            </w:r>
          </w:p>
          <w:p w14:paraId="3E0918B9" w14:textId="77777777" w:rsidR="008349A9" w:rsidRPr="008349A9" w:rsidRDefault="008349A9" w:rsidP="008349A9">
            <w:pPr>
              <w:pStyle w:val="TableRow"/>
              <w:ind w:left="0"/>
              <w:rPr>
                <w:rFonts w:cs="Arial"/>
                <w:color w:val="000000" w:themeColor="text1"/>
              </w:rPr>
            </w:pPr>
          </w:p>
          <w:p w14:paraId="6936D52D" w14:textId="7E0633E4" w:rsidR="008349A9" w:rsidRPr="008349A9" w:rsidRDefault="008349A9" w:rsidP="008349A9">
            <w:pPr>
              <w:pStyle w:val="TableRow"/>
              <w:ind w:left="0"/>
              <w:rPr>
                <w:rFonts w:cs="Arial"/>
                <w:iCs/>
              </w:rPr>
            </w:pPr>
            <w:r w:rsidRPr="008349A9">
              <w:rPr>
                <w:rFonts w:cs="Arial"/>
                <w:color w:val="000000" w:themeColor="text1"/>
              </w:rPr>
              <w:t>Recruitment of 8 teaching and learning champions to lead the programme.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CFF1A" w14:textId="02408D1D" w:rsidR="008349A9" w:rsidRPr="008349A9" w:rsidRDefault="00B82BA6" w:rsidP="008349A9">
            <w:pPr>
              <w:spacing w:after="0" w:line="240" w:lineRule="auto"/>
              <w:rPr>
                <w:rFonts w:cs="Arial"/>
                <w:color w:val="000000" w:themeColor="text1"/>
              </w:rPr>
            </w:pPr>
            <w:hyperlink r:id="rId15" w:history="1">
              <w:r w:rsidR="008349A9" w:rsidRPr="008349A9">
                <w:rPr>
                  <w:rStyle w:val="Hyperlink"/>
                  <w:rFonts w:cs="Arial"/>
                  <w:color w:val="000000" w:themeColor="text1"/>
                </w:rPr>
                <w:t>Embedding Formative Assessment - SSAT (ssatuk.co.uk)</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38DE4" w14:textId="0D879A82" w:rsidR="008349A9" w:rsidRPr="008349A9" w:rsidRDefault="008349A9" w:rsidP="008349A9">
            <w:pPr>
              <w:pStyle w:val="TableRowCentered"/>
              <w:ind w:left="0" w:right="0"/>
              <w:jc w:val="left"/>
              <w:rPr>
                <w:rFonts w:cs="Arial"/>
                <w:szCs w:val="24"/>
              </w:rPr>
            </w:pPr>
            <w:r w:rsidRPr="008349A9">
              <w:rPr>
                <w:rFonts w:cs="Arial"/>
                <w:szCs w:val="24"/>
              </w:rPr>
              <w:t>1, 5</w:t>
            </w:r>
          </w:p>
        </w:tc>
      </w:tr>
      <w:tr w:rsidR="00E70EFA" w14:paraId="4CFDD087" w14:textId="77777777" w:rsidTr="006D5BE8">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B8CE" w14:textId="77777777" w:rsidR="00E70EFA" w:rsidRPr="006B33D1" w:rsidRDefault="00E70EFA" w:rsidP="00E70EFA">
            <w:pPr>
              <w:pStyle w:val="TableRowCentered"/>
              <w:ind w:left="0"/>
              <w:jc w:val="left"/>
              <w:rPr>
                <w:rFonts w:cs="Arial"/>
                <w:szCs w:val="24"/>
              </w:rPr>
            </w:pPr>
            <w:r w:rsidRPr="006B33D1">
              <w:rPr>
                <w:rFonts w:cs="Arial"/>
                <w:szCs w:val="24"/>
              </w:rPr>
              <w:t xml:space="preserve">CPD programme internal and external provision to support early career teachers as well as NPQ courses to continue to </w:t>
            </w:r>
            <w:r w:rsidRPr="006B33D1">
              <w:rPr>
                <w:rFonts w:cs="Arial"/>
                <w:szCs w:val="24"/>
              </w:rPr>
              <w:lastRenderedPageBreak/>
              <w:t>develop more experience staff.</w:t>
            </w:r>
          </w:p>
          <w:p w14:paraId="0D019A1F" w14:textId="77777777" w:rsidR="00E70EFA" w:rsidRPr="006B33D1" w:rsidRDefault="00E70EFA" w:rsidP="00E70EFA">
            <w:pPr>
              <w:pStyle w:val="TableRowCentered"/>
              <w:ind w:left="0"/>
              <w:jc w:val="left"/>
              <w:rPr>
                <w:rFonts w:cs="Arial"/>
                <w:szCs w:val="24"/>
              </w:rPr>
            </w:pPr>
          </w:p>
          <w:p w14:paraId="1182553B" w14:textId="77777777" w:rsidR="00E70EFA" w:rsidRPr="006B33D1" w:rsidRDefault="00E70EFA" w:rsidP="00E70EFA">
            <w:pPr>
              <w:pStyle w:val="TableRowCentered"/>
              <w:ind w:left="0"/>
              <w:jc w:val="left"/>
              <w:rPr>
                <w:rFonts w:cs="Arial"/>
                <w:szCs w:val="24"/>
              </w:rPr>
            </w:pPr>
            <w:r w:rsidRPr="006B33D1">
              <w:rPr>
                <w:rFonts w:cs="Arial"/>
                <w:szCs w:val="24"/>
              </w:rPr>
              <w:t>Staff inset days and twilight CPD, broad offer which targets the 4 priority areas of embedding formative assessment, disciplinary reading and writing, intelligently designed use of effective pedagogical tools, behaviour culture and curriculum (inc. safeguarding).</w:t>
            </w:r>
          </w:p>
          <w:p w14:paraId="500C743A" w14:textId="77777777" w:rsidR="00E70EFA" w:rsidRPr="006B33D1" w:rsidRDefault="00E70EFA" w:rsidP="00E70EFA">
            <w:pPr>
              <w:pStyle w:val="TableRowCentered"/>
              <w:jc w:val="left"/>
              <w:rPr>
                <w:rFonts w:cs="Arial"/>
                <w:szCs w:val="24"/>
              </w:rPr>
            </w:pPr>
          </w:p>
          <w:p w14:paraId="08D3ACF7" w14:textId="77777777" w:rsidR="00E70EFA" w:rsidRPr="006B33D1" w:rsidRDefault="00E70EFA" w:rsidP="00E70EFA">
            <w:pPr>
              <w:pStyle w:val="TableRowCentered"/>
              <w:ind w:left="0"/>
              <w:jc w:val="left"/>
              <w:rPr>
                <w:rFonts w:cs="Arial"/>
                <w:szCs w:val="24"/>
              </w:rPr>
            </w:pPr>
            <w:r w:rsidRPr="006B33D1">
              <w:rPr>
                <w:rFonts w:cs="Arial"/>
                <w:szCs w:val="24"/>
              </w:rPr>
              <w:t xml:space="preserve">Staff half termly deliberate practise CPD to embed key teaching and learning foci. </w:t>
            </w:r>
          </w:p>
          <w:p w14:paraId="3B9F35AE" w14:textId="77777777" w:rsidR="00E70EFA" w:rsidRPr="006B33D1" w:rsidRDefault="00E70EFA" w:rsidP="00E70EFA">
            <w:pPr>
              <w:pStyle w:val="TableRowCentered"/>
              <w:ind w:left="0"/>
              <w:jc w:val="left"/>
              <w:rPr>
                <w:rFonts w:cs="Arial"/>
                <w:szCs w:val="24"/>
              </w:rPr>
            </w:pPr>
          </w:p>
          <w:p w14:paraId="65DB25A8" w14:textId="77777777" w:rsidR="00E70EFA" w:rsidRPr="006B33D1" w:rsidRDefault="00E70EFA" w:rsidP="00E70EFA">
            <w:pPr>
              <w:pStyle w:val="TableRowCentered"/>
              <w:ind w:left="0"/>
              <w:jc w:val="left"/>
              <w:rPr>
                <w:rFonts w:cs="Arial"/>
                <w:szCs w:val="24"/>
              </w:rPr>
            </w:pPr>
            <w:r w:rsidRPr="006B33D1">
              <w:rPr>
                <w:rFonts w:cs="Arial"/>
                <w:szCs w:val="24"/>
              </w:rPr>
              <w:t>Curriculum and Assessment CPD and development days for each KS3 department to ensure it is a powerhouse for KS4. Use of Ambition materials to support development work (this includes curated materials from domain experts).</w:t>
            </w:r>
          </w:p>
          <w:p w14:paraId="234088E2" w14:textId="77777777" w:rsidR="00E70EFA" w:rsidRPr="006B33D1" w:rsidRDefault="00E70EFA" w:rsidP="00E70EFA">
            <w:pPr>
              <w:pStyle w:val="TableRowCentered"/>
              <w:jc w:val="left"/>
              <w:rPr>
                <w:rFonts w:cs="Arial"/>
                <w:szCs w:val="24"/>
              </w:rPr>
            </w:pPr>
          </w:p>
          <w:p w14:paraId="7DCFFA53" w14:textId="77777777" w:rsidR="00E70EFA" w:rsidRPr="006B33D1" w:rsidRDefault="00E70EFA" w:rsidP="00E70EFA">
            <w:pPr>
              <w:pStyle w:val="TableRowCentered"/>
              <w:ind w:left="0"/>
              <w:jc w:val="left"/>
              <w:rPr>
                <w:rFonts w:cs="Arial"/>
                <w:szCs w:val="24"/>
              </w:rPr>
            </w:pPr>
            <w:r w:rsidRPr="006B33D1">
              <w:rPr>
                <w:rFonts w:cs="Arial"/>
                <w:szCs w:val="24"/>
              </w:rPr>
              <w:t>Fortnightly professional collaboration sessions to develop subject specific strategies to improve T&amp;L, with a focus on adaptions to ensure inclusivity.</w:t>
            </w:r>
          </w:p>
          <w:p w14:paraId="2EC33325" w14:textId="77777777" w:rsidR="00E70EFA" w:rsidRPr="006B33D1" w:rsidRDefault="00E70EFA" w:rsidP="00E70EFA">
            <w:pPr>
              <w:pStyle w:val="TableRowCentered"/>
              <w:ind w:left="0"/>
              <w:jc w:val="left"/>
              <w:rPr>
                <w:rFonts w:cs="Arial"/>
                <w:szCs w:val="24"/>
              </w:rPr>
            </w:pPr>
          </w:p>
          <w:p w14:paraId="118DE8FD" w14:textId="77777777" w:rsidR="00E70EFA" w:rsidRPr="006B33D1" w:rsidRDefault="00E70EFA" w:rsidP="00E70EFA">
            <w:pPr>
              <w:pStyle w:val="TableRowCentered"/>
              <w:ind w:left="0"/>
              <w:jc w:val="left"/>
              <w:rPr>
                <w:rFonts w:cs="Arial"/>
                <w:szCs w:val="24"/>
              </w:rPr>
            </w:pPr>
            <w:r w:rsidRPr="006B33D1">
              <w:rPr>
                <w:rFonts w:cs="Arial"/>
                <w:szCs w:val="24"/>
              </w:rPr>
              <w:t xml:space="preserve">CPD programme to support early career teachers as well as NPQ courses to </w:t>
            </w:r>
            <w:r w:rsidRPr="006B33D1">
              <w:rPr>
                <w:rFonts w:cs="Arial"/>
                <w:szCs w:val="24"/>
              </w:rPr>
              <w:lastRenderedPageBreak/>
              <w:t>continue to develop more experience staff (via Ambition).</w:t>
            </w:r>
          </w:p>
          <w:p w14:paraId="0C2FDD86" w14:textId="77777777" w:rsidR="00E70EFA" w:rsidRPr="006B33D1" w:rsidRDefault="00E70EFA" w:rsidP="00E70EFA">
            <w:pPr>
              <w:pStyle w:val="TableRowCentered"/>
              <w:jc w:val="left"/>
              <w:rPr>
                <w:rFonts w:cs="Arial"/>
                <w:szCs w:val="24"/>
              </w:rPr>
            </w:pPr>
          </w:p>
          <w:p w14:paraId="23520638" w14:textId="77777777" w:rsidR="00E70EFA" w:rsidRPr="006B33D1" w:rsidRDefault="00E70EFA" w:rsidP="00E70EFA">
            <w:pPr>
              <w:pStyle w:val="TableRowCentered"/>
              <w:ind w:left="0"/>
              <w:jc w:val="left"/>
              <w:rPr>
                <w:rFonts w:cs="Arial"/>
                <w:szCs w:val="24"/>
              </w:rPr>
            </w:pPr>
            <w:r w:rsidRPr="006B33D1">
              <w:rPr>
                <w:rFonts w:cs="Arial"/>
                <w:szCs w:val="24"/>
              </w:rPr>
              <w:t>CPD: Steplab</w:t>
            </w:r>
          </w:p>
          <w:p w14:paraId="1CC55016" w14:textId="77777777" w:rsidR="00E70EFA" w:rsidRPr="006B33D1" w:rsidRDefault="00E70EFA" w:rsidP="00E70EFA">
            <w:pPr>
              <w:pStyle w:val="TableRow"/>
              <w:ind w:left="0"/>
              <w:rPr>
                <w:rFonts w:cs="Arial"/>
              </w:rPr>
            </w:pPr>
            <w:r w:rsidRPr="006B33D1">
              <w:rPr>
                <w:rFonts w:cs="Arial"/>
              </w:rPr>
              <w:t xml:space="preserve">CPD: </w:t>
            </w:r>
            <w:r w:rsidRPr="006B33D1">
              <w:rPr>
                <w:rFonts w:cs="Arial"/>
                <w:i/>
                <w:iCs/>
              </w:rPr>
              <w:t xml:space="preserve">Teaching Walk </w:t>
            </w:r>
            <w:proofErr w:type="spellStart"/>
            <w:r w:rsidRPr="006B33D1">
              <w:rPr>
                <w:rFonts w:cs="Arial"/>
                <w:i/>
                <w:iCs/>
              </w:rPr>
              <w:t>Thrus</w:t>
            </w:r>
            <w:proofErr w:type="spellEnd"/>
            <w:r w:rsidRPr="006B33D1">
              <w:rPr>
                <w:rFonts w:cs="Arial"/>
              </w:rPr>
              <w:t xml:space="preserve"> </w:t>
            </w:r>
          </w:p>
          <w:p w14:paraId="30238CEC" w14:textId="589E293E" w:rsidR="00E70EFA" w:rsidRPr="006B33D1" w:rsidRDefault="00E70EFA" w:rsidP="00E70EFA">
            <w:pPr>
              <w:pStyle w:val="TableRow"/>
              <w:ind w:left="0"/>
              <w:rPr>
                <w:rFonts w:cs="Arial"/>
                <w:color w:val="000000" w:themeColor="text1"/>
              </w:rPr>
            </w:pPr>
            <w:r w:rsidRPr="006B33D1">
              <w:rPr>
                <w:rStyle w:val="normaltextrun"/>
                <w:rFonts w:cs="Arial"/>
                <w:iCs/>
                <w:color w:val="000000" w:themeColor="text1"/>
              </w:rPr>
              <w:t>CPD: The 5 a Day approach</w:t>
            </w:r>
            <w:r w:rsidRPr="006B33D1">
              <w:rPr>
                <w:rFonts w:cs="Arial"/>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DDC3" w14:textId="77777777" w:rsidR="00E70EFA" w:rsidRPr="00E70EFA" w:rsidRDefault="00E70EFA" w:rsidP="00E70EFA">
            <w:pPr>
              <w:pStyle w:val="TableRowCentered"/>
              <w:ind w:left="0"/>
              <w:jc w:val="left"/>
              <w:rPr>
                <w:rFonts w:cs="Arial"/>
                <w:szCs w:val="24"/>
              </w:rPr>
            </w:pPr>
            <w:r w:rsidRPr="00E70EFA">
              <w:rPr>
                <w:rFonts w:cs="Arial"/>
                <w:szCs w:val="24"/>
              </w:rPr>
              <w:lastRenderedPageBreak/>
              <w:t xml:space="preserve">EEF indicates that a quality teacher in front of disadvantaged pupils serves as one of the best strategies for improving PP outcomes. Evidence supports that quality CPD can have a positive impact on the effectiveness of teachers.  </w:t>
            </w:r>
            <w:hyperlink r:id="rId16" w:history="1">
              <w:r w:rsidRPr="00E70EFA">
                <w:rPr>
                  <w:rStyle w:val="cf01"/>
                  <w:rFonts w:ascii="Arial" w:hAnsi="Arial" w:cs="Arial"/>
                  <w:color w:val="0000FF"/>
                  <w:sz w:val="24"/>
                  <w:szCs w:val="24"/>
                  <w:u w:val="single"/>
                </w:rPr>
                <w:t>https://www.gov.uk/government/publications/early-career-framework</w:t>
              </w:r>
            </w:hyperlink>
          </w:p>
          <w:p w14:paraId="13295A42" w14:textId="77777777" w:rsidR="00E70EFA" w:rsidRPr="00E70EFA" w:rsidRDefault="00E70EFA" w:rsidP="00E70EFA">
            <w:pPr>
              <w:pStyle w:val="TableRowCentered"/>
              <w:ind w:left="0"/>
              <w:jc w:val="left"/>
              <w:rPr>
                <w:rFonts w:cs="Arial"/>
                <w:color w:val="000000" w:themeColor="text1"/>
                <w:szCs w:val="24"/>
              </w:rPr>
            </w:pPr>
          </w:p>
          <w:p w14:paraId="34785657" w14:textId="77777777" w:rsidR="00E70EFA" w:rsidRPr="00E70EFA" w:rsidRDefault="00B82BA6" w:rsidP="00E70EFA">
            <w:pPr>
              <w:pStyle w:val="TableRowCentered"/>
              <w:ind w:left="0"/>
              <w:jc w:val="left"/>
              <w:rPr>
                <w:rFonts w:cs="Arial"/>
                <w:color w:val="000000" w:themeColor="text1"/>
                <w:szCs w:val="24"/>
              </w:rPr>
            </w:pPr>
            <w:hyperlink r:id="rId17" w:history="1">
              <w:r w:rsidR="00E70EFA" w:rsidRPr="00E70EFA">
                <w:rPr>
                  <w:rStyle w:val="Hyperlink"/>
                  <w:rFonts w:cs="Arial"/>
                  <w:color w:val="000000" w:themeColor="text1"/>
                  <w:szCs w:val="24"/>
                </w:rPr>
                <w:t>Effective Professional Development | EEF (educationendowmentfoundation.org.uk)</w:t>
              </w:r>
            </w:hyperlink>
          </w:p>
          <w:p w14:paraId="07952292" w14:textId="77777777" w:rsidR="00E70EFA" w:rsidRPr="00E70EFA" w:rsidRDefault="00E70EFA" w:rsidP="00E70EFA">
            <w:pPr>
              <w:pStyle w:val="TableRowCentered"/>
              <w:ind w:left="0"/>
              <w:jc w:val="left"/>
              <w:rPr>
                <w:rFonts w:cs="Arial"/>
                <w:szCs w:val="24"/>
              </w:rPr>
            </w:pPr>
          </w:p>
          <w:p w14:paraId="7F5C0224" w14:textId="77777777" w:rsidR="00E70EFA" w:rsidRPr="00E70EFA" w:rsidRDefault="00E70EFA" w:rsidP="00E70EFA">
            <w:pPr>
              <w:pStyle w:val="TableRowCentered"/>
              <w:ind w:left="0"/>
              <w:jc w:val="left"/>
              <w:rPr>
                <w:rFonts w:cs="Arial"/>
                <w:szCs w:val="24"/>
              </w:rPr>
            </w:pPr>
            <w:r w:rsidRPr="00E70EFA">
              <w:rPr>
                <w:rFonts w:cs="Arial"/>
                <w:szCs w:val="24"/>
              </w:rPr>
              <w:t>The evidence supporting cognitive science strategies in the classroom is extensive and supports improved outcomes, especially for disadvantaged learners.  CPD such as this supports staff to be effective in planning and delivery of learning tasks and EEF indicates that quality teachers in front of learners is fundamental in improving outcomes for disadvantaged learners.</w:t>
            </w:r>
          </w:p>
          <w:p w14:paraId="07CB2DBF" w14:textId="77777777" w:rsidR="00E70EFA" w:rsidRPr="00E70EFA" w:rsidRDefault="00B82BA6" w:rsidP="00E70EFA">
            <w:pPr>
              <w:pStyle w:val="TableRowCentered"/>
              <w:ind w:left="0"/>
              <w:jc w:val="left"/>
              <w:rPr>
                <w:rStyle w:val="Hyperlink"/>
                <w:rFonts w:cs="Arial"/>
                <w:color w:val="000000" w:themeColor="text1"/>
                <w:szCs w:val="24"/>
              </w:rPr>
            </w:pPr>
            <w:hyperlink r:id="rId18" w:history="1">
              <w:r w:rsidR="00E70EFA" w:rsidRPr="00E70EFA">
                <w:rPr>
                  <w:rStyle w:val="Hyperlink"/>
                  <w:rFonts w:cs="Arial"/>
                  <w:color w:val="000000" w:themeColor="text1"/>
                  <w:szCs w:val="24"/>
                </w:rPr>
                <w:t>Cognitive_science_approaches_in_the_classroom_-_A_review_of_the_evidence.pdf (d2tic4wvo1iusb.cloudfront.net)</w:t>
              </w:r>
            </w:hyperlink>
          </w:p>
          <w:p w14:paraId="18A6A5DF" w14:textId="77777777" w:rsidR="00E70EFA" w:rsidRPr="00E70EFA" w:rsidRDefault="00E70EFA" w:rsidP="00E70EFA">
            <w:pPr>
              <w:pStyle w:val="TableRowCentered"/>
              <w:ind w:left="0"/>
              <w:jc w:val="left"/>
              <w:rPr>
                <w:rStyle w:val="Hyperlink"/>
                <w:rFonts w:cs="Arial"/>
                <w:szCs w:val="24"/>
              </w:rPr>
            </w:pPr>
          </w:p>
          <w:p w14:paraId="4C36194D" w14:textId="77777777" w:rsidR="00E70EFA" w:rsidRPr="00E70EFA" w:rsidRDefault="00E70EFA" w:rsidP="00E70EFA">
            <w:pPr>
              <w:pStyle w:val="TableRowCentered"/>
              <w:ind w:left="0"/>
              <w:jc w:val="left"/>
              <w:rPr>
                <w:rFonts w:cs="Arial"/>
                <w:szCs w:val="24"/>
              </w:rPr>
            </w:pPr>
            <w:r w:rsidRPr="00E70EFA">
              <w:rPr>
                <w:rFonts w:cs="Arial"/>
                <w:szCs w:val="24"/>
              </w:rPr>
              <w:t>EEF Metacognition and self- regulation is high impact of up to +7 months.</w:t>
            </w:r>
          </w:p>
          <w:p w14:paraId="52758F24" w14:textId="77777777" w:rsidR="00E70EFA" w:rsidRPr="00E70EFA" w:rsidRDefault="00E70EFA" w:rsidP="00E70EFA">
            <w:pPr>
              <w:pStyle w:val="TableRowCentered"/>
              <w:jc w:val="left"/>
              <w:rPr>
                <w:rFonts w:cs="Arial"/>
                <w:szCs w:val="24"/>
              </w:rPr>
            </w:pPr>
          </w:p>
          <w:p w14:paraId="5EE218E4" w14:textId="03012EB3" w:rsidR="00E70EFA" w:rsidRPr="00E70EFA" w:rsidRDefault="00E70EFA" w:rsidP="00E70EFA">
            <w:pPr>
              <w:spacing w:after="0" w:line="240" w:lineRule="auto"/>
              <w:rPr>
                <w:rFonts w:cs="Arial"/>
              </w:rPr>
            </w:pPr>
            <w:r w:rsidRPr="00E70EFA">
              <w:rPr>
                <w:rFonts w:cs="Arial"/>
              </w:rPr>
              <w:t>EEF indicates that PP pupils benefit from good teaching and learning – collaborative planning allows for co-planning to develop staff subject and curriculum knowledge.</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1D6E5" w14:textId="4E3C15B7" w:rsidR="00E70EFA" w:rsidRDefault="00E70EFA" w:rsidP="00E70EFA">
            <w:pPr>
              <w:pStyle w:val="TableRowCentered"/>
              <w:ind w:left="0" w:right="0"/>
              <w:jc w:val="left"/>
              <w:rPr>
                <w:sz w:val="22"/>
              </w:rPr>
            </w:pPr>
            <w:r>
              <w:rPr>
                <w:sz w:val="22"/>
              </w:rPr>
              <w:lastRenderedPageBreak/>
              <w:t>1, 6</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25DF0BA" w:rsidR="00E66558" w:rsidRDefault="009D71E8">
      <w:r>
        <w:t xml:space="preserve">Budgeted cost: </w:t>
      </w:r>
      <w:r w:rsidR="006B51E9">
        <w:t>£249,000</w:t>
      </w:r>
    </w:p>
    <w:tbl>
      <w:tblPr>
        <w:tblW w:w="5000" w:type="pct"/>
        <w:tblLayout w:type="fixed"/>
        <w:tblCellMar>
          <w:left w:w="10" w:type="dxa"/>
          <w:right w:w="10" w:type="dxa"/>
        </w:tblCellMar>
        <w:tblLook w:val="04A0" w:firstRow="1" w:lastRow="0" w:firstColumn="1" w:lastColumn="0" w:noHBand="0" w:noVBand="1"/>
      </w:tblPr>
      <w:tblGrid>
        <w:gridCol w:w="2689"/>
        <w:gridCol w:w="4252"/>
        <w:gridCol w:w="2545"/>
      </w:tblGrid>
      <w:tr w:rsidR="00E66558" w14:paraId="2A7D5528" w14:textId="77777777" w:rsidTr="00BF58F6">
        <w:tc>
          <w:tcPr>
            <w:tcW w:w="268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07116E" w14:paraId="0F943FD4" w14:textId="77777777" w:rsidTr="00BF58F6">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5232" w14:textId="55CC0497" w:rsidR="0007116E" w:rsidRPr="0007116E" w:rsidRDefault="0007116E" w:rsidP="00C31636">
            <w:pPr>
              <w:pStyle w:val="TableRowCentered"/>
              <w:ind w:left="0" w:right="0"/>
              <w:jc w:val="left"/>
              <w:rPr>
                <w:szCs w:val="24"/>
              </w:rPr>
            </w:pPr>
            <w:r w:rsidRPr="0007116E">
              <w:rPr>
                <w:szCs w:val="24"/>
              </w:rPr>
              <w:t>Interventions to support language development, literacy and numeracy</w:t>
            </w:r>
          </w:p>
        </w:tc>
      </w:tr>
      <w:tr w:rsidR="00BF58F6" w14:paraId="2A7D552C" w14:textId="77777777" w:rsidTr="00BF58F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72218" w14:textId="77777777" w:rsidR="00BF58F6" w:rsidRPr="00326E27" w:rsidRDefault="00BF58F6" w:rsidP="00BF58F6">
            <w:pPr>
              <w:pStyle w:val="TableRow"/>
              <w:ind w:left="0"/>
              <w:rPr>
                <w:rFonts w:cs="Arial"/>
                <w:iCs/>
                <w:color w:val="auto"/>
              </w:rPr>
            </w:pPr>
            <w:r w:rsidRPr="00326E27">
              <w:rPr>
                <w:rFonts w:cs="Arial"/>
                <w:iCs/>
                <w:color w:val="auto"/>
              </w:rPr>
              <w:t>Expanded the SLT to include an Assistant Principal with a focus of disciplinary literacy with oversight of literacy intervention programme.</w:t>
            </w:r>
          </w:p>
          <w:p w14:paraId="76D3B2B4" w14:textId="77777777" w:rsidR="00BF58F6" w:rsidRPr="00326E27" w:rsidRDefault="00BF58F6" w:rsidP="00BF58F6">
            <w:pPr>
              <w:pStyle w:val="TableRow"/>
              <w:ind w:left="0"/>
              <w:rPr>
                <w:rFonts w:cs="Arial"/>
                <w:iCs/>
                <w:color w:val="auto"/>
              </w:rPr>
            </w:pPr>
          </w:p>
          <w:p w14:paraId="327BA83D" w14:textId="77777777" w:rsidR="00BF58F6" w:rsidRPr="00326E27" w:rsidRDefault="00BF58F6" w:rsidP="00BF58F6">
            <w:pPr>
              <w:pStyle w:val="TableRow"/>
              <w:ind w:left="0"/>
              <w:rPr>
                <w:rFonts w:cs="Arial"/>
                <w:iCs/>
                <w:color w:val="auto"/>
              </w:rPr>
            </w:pPr>
            <w:r w:rsidRPr="00326E27">
              <w:rPr>
                <w:rFonts w:cs="Arial"/>
                <w:iCs/>
                <w:color w:val="auto"/>
              </w:rPr>
              <w:t>Middle leader role to support in the areas of disciplinary reading and writing to ensure it is embedded across all departments.</w:t>
            </w:r>
          </w:p>
          <w:p w14:paraId="4CF207F2" w14:textId="77777777" w:rsidR="00BF58F6" w:rsidRPr="00326E27" w:rsidRDefault="00BF58F6" w:rsidP="00BF58F6">
            <w:pPr>
              <w:pStyle w:val="TableRow"/>
              <w:rPr>
                <w:rFonts w:cs="Arial"/>
                <w:iCs/>
                <w:color w:val="auto"/>
              </w:rPr>
            </w:pPr>
          </w:p>
          <w:p w14:paraId="7C27BC4E" w14:textId="68633689" w:rsidR="00BF58F6" w:rsidRPr="00326E27" w:rsidRDefault="00BF58F6" w:rsidP="00BF58F6">
            <w:pPr>
              <w:pStyle w:val="TableRow"/>
              <w:rPr>
                <w:rFonts w:cs="Arial"/>
                <w:iCs/>
                <w:color w:val="auto"/>
              </w:rPr>
            </w:pPr>
            <w:r w:rsidRPr="00326E27">
              <w:rPr>
                <w:rFonts w:cs="Arial"/>
                <w:iCs/>
                <w:color w:val="auto"/>
              </w:rPr>
              <w:t>All pupils to undertake NGRT reading test.  Tiered response to arising</w:t>
            </w:r>
            <w:r>
              <w:rPr>
                <w:rFonts w:cs="Arial"/>
                <w:iCs/>
                <w:color w:val="auto"/>
              </w:rPr>
              <w:t xml:space="preserve"> </w:t>
            </w:r>
            <w:r w:rsidRPr="00326E27">
              <w:rPr>
                <w:rFonts w:cs="Arial"/>
                <w:iCs/>
                <w:color w:val="auto"/>
              </w:rPr>
              <w:t>need.  Offer includes:</w:t>
            </w:r>
          </w:p>
          <w:p w14:paraId="1B700409" w14:textId="77777777" w:rsidR="00BF58F6" w:rsidRPr="00326E27" w:rsidRDefault="00BF58F6" w:rsidP="00BF58F6">
            <w:pPr>
              <w:pStyle w:val="TableRow"/>
              <w:numPr>
                <w:ilvl w:val="0"/>
                <w:numId w:val="30"/>
              </w:numPr>
              <w:rPr>
                <w:rFonts w:cs="Arial"/>
                <w:iCs/>
                <w:color w:val="auto"/>
              </w:rPr>
            </w:pPr>
            <w:r w:rsidRPr="00326E27">
              <w:rPr>
                <w:rFonts w:cs="Arial"/>
                <w:iCs/>
                <w:color w:val="auto"/>
              </w:rPr>
              <w:t xml:space="preserve">Universal offer – Reg and Read Literary Canon, Reading Plus in KS3, curriculum planning for Disciplinary </w:t>
            </w:r>
            <w:r w:rsidRPr="00326E27">
              <w:rPr>
                <w:rFonts w:cs="Arial"/>
                <w:iCs/>
                <w:color w:val="auto"/>
              </w:rPr>
              <w:lastRenderedPageBreak/>
              <w:t>reading, writing and vocab, Transition novel, Shakespeare’s Romeo and Juliet, Word of the Week, Library provision.</w:t>
            </w:r>
          </w:p>
          <w:p w14:paraId="33577EF3" w14:textId="77777777" w:rsidR="00BF58F6" w:rsidRPr="00326E27" w:rsidRDefault="00BF58F6" w:rsidP="00BF58F6">
            <w:pPr>
              <w:pStyle w:val="TableRow"/>
              <w:ind w:left="0"/>
              <w:rPr>
                <w:rFonts w:cs="Arial"/>
                <w:iCs/>
                <w:color w:val="auto"/>
              </w:rPr>
            </w:pPr>
            <w:r w:rsidRPr="00326E27">
              <w:rPr>
                <w:rFonts w:cs="Arial"/>
                <w:iCs/>
                <w:color w:val="auto"/>
              </w:rPr>
              <w:t xml:space="preserve">For weakest readers </w:t>
            </w:r>
          </w:p>
          <w:p w14:paraId="02D78EA1" w14:textId="77777777" w:rsidR="00BF58F6" w:rsidRDefault="00BF58F6" w:rsidP="00BF58F6">
            <w:pPr>
              <w:pStyle w:val="TableRow"/>
              <w:numPr>
                <w:ilvl w:val="0"/>
                <w:numId w:val="30"/>
              </w:numPr>
              <w:rPr>
                <w:rFonts w:cs="Arial"/>
                <w:iCs/>
                <w:color w:val="auto"/>
              </w:rPr>
            </w:pPr>
            <w:r w:rsidRPr="00326E27">
              <w:rPr>
                <w:rFonts w:cs="Arial"/>
                <w:iCs/>
                <w:color w:val="auto"/>
              </w:rPr>
              <w:t xml:space="preserve">Small Group intervention, Lexonik Leap SAS below 85, Lexonik Advance SAS 85 - 115, EAL provision – new arrivals and SAS below 85. </w:t>
            </w:r>
          </w:p>
          <w:p w14:paraId="2A7D5529" w14:textId="2A2259B0" w:rsidR="00BF58F6" w:rsidRPr="00326E27" w:rsidRDefault="00BF58F6" w:rsidP="00BF58F6">
            <w:pPr>
              <w:pStyle w:val="TableRow"/>
              <w:numPr>
                <w:ilvl w:val="0"/>
                <w:numId w:val="30"/>
              </w:numPr>
              <w:rPr>
                <w:rFonts w:cs="Arial"/>
                <w:iCs/>
                <w:color w:val="auto"/>
              </w:rPr>
            </w:pPr>
            <w:r w:rsidRPr="00326E27">
              <w:rPr>
                <w:rFonts w:cs="Arial"/>
                <w:iCs/>
                <w:color w:val="auto"/>
              </w:rPr>
              <w:t>1:1 intervention for phonics support and general reading support and EAL provision, stanine 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BE12B" w14:textId="77777777" w:rsidR="00BF58F6" w:rsidRPr="00BF58F6" w:rsidRDefault="00BF58F6" w:rsidP="00BF58F6">
            <w:pPr>
              <w:spacing w:after="0" w:line="240" w:lineRule="auto"/>
              <w:rPr>
                <w:rFonts w:cs="Arial"/>
                <w:color w:val="auto"/>
              </w:rPr>
            </w:pPr>
            <w:r w:rsidRPr="00BF58F6">
              <w:rPr>
                <w:rFonts w:cs="Arial"/>
                <w:color w:val="auto"/>
                <w:shd w:val="clear" w:color="auto" w:fill="FFFFFF"/>
              </w:rPr>
              <w:lastRenderedPageBreak/>
              <w:t xml:space="preserve">Systematic development of vocabulary through the curriculum - </w:t>
            </w:r>
            <w:r w:rsidRPr="00BF58F6">
              <w:rPr>
                <w:rFonts w:cs="Arial"/>
                <w:color w:val="auto"/>
              </w:rPr>
              <w:t>Alex Quigley research ‘Closing the Vocabulary gap’ - Academic Vocabulary needs to be taught explicitly and methodologically top close the attainment gap.</w:t>
            </w:r>
          </w:p>
          <w:p w14:paraId="4E99F487" w14:textId="77777777" w:rsidR="00BF58F6" w:rsidRPr="00BF58F6" w:rsidRDefault="00BF58F6" w:rsidP="00BF58F6">
            <w:pPr>
              <w:spacing w:after="0" w:line="240" w:lineRule="auto"/>
              <w:rPr>
                <w:rFonts w:cs="Arial"/>
                <w:color w:val="auto"/>
              </w:rPr>
            </w:pPr>
          </w:p>
          <w:p w14:paraId="0346CAF2" w14:textId="77777777" w:rsidR="00BF58F6" w:rsidRPr="00BF58F6" w:rsidRDefault="00BF58F6" w:rsidP="00BF58F6">
            <w:pPr>
              <w:rPr>
                <w:rStyle w:val="Hyperlink"/>
                <w:rFonts w:cs="Arial"/>
              </w:rPr>
            </w:pPr>
            <w:r w:rsidRPr="00BF58F6">
              <w:rPr>
                <w:rFonts w:cs="Arial"/>
                <w:color w:val="auto"/>
              </w:rPr>
              <w:t xml:space="preserve">Acquiring +’Disciplinary Literacy’ is key for pupils as they learn new, more complex concepts in each subject: </w:t>
            </w:r>
            <w:r w:rsidRPr="00BF58F6">
              <w:rPr>
                <w:rStyle w:val="Hyperlink"/>
                <w:rFonts w:cs="Arial"/>
                <w:color w:val="auto"/>
              </w:rPr>
              <w:t xml:space="preserve">EEF- </w:t>
            </w:r>
            <w:hyperlink r:id="rId19" w:history="1">
              <w:r w:rsidRPr="00BF58F6">
                <w:rPr>
                  <w:rStyle w:val="Hyperlink"/>
                  <w:rFonts w:cs="Arial"/>
                  <w:color w:val="auto"/>
                </w:rPr>
                <w:t>Improving Literacy in Secondary Schools</w:t>
              </w:r>
            </w:hyperlink>
            <w:r w:rsidRPr="00BF58F6">
              <w:rPr>
                <w:rStyle w:val="Hyperlink"/>
                <w:rFonts w:cs="Arial"/>
                <w:color w:val="auto"/>
              </w:rPr>
              <w:t>,</w:t>
            </w:r>
            <w:r w:rsidRPr="00BF58F6">
              <w:rPr>
                <w:rStyle w:val="Hyperlink"/>
                <w:rFonts w:cs="Arial"/>
              </w:rPr>
              <w:t xml:space="preserve">  </w:t>
            </w:r>
          </w:p>
          <w:p w14:paraId="4DE4489B" w14:textId="77777777" w:rsidR="00BF58F6" w:rsidRPr="00BF58F6" w:rsidRDefault="00B82BA6" w:rsidP="00BF58F6">
            <w:pPr>
              <w:rPr>
                <w:rStyle w:val="Hyperlink"/>
                <w:rFonts w:cs="Arial"/>
                <w:color w:val="auto"/>
              </w:rPr>
            </w:pPr>
            <w:hyperlink r:id="rId20" w:history="1">
              <w:r w:rsidR="00BF58F6" w:rsidRPr="00BF58F6">
                <w:rPr>
                  <w:rStyle w:val="Hyperlink"/>
                  <w:rFonts w:cs="Arial"/>
                </w:rPr>
                <w:t>https://educationendowmentfoundation.org.uk/guidance-for-teachers/literacy</w:t>
              </w:r>
            </w:hyperlink>
            <w:r w:rsidR="00BF58F6" w:rsidRPr="00BF58F6">
              <w:rPr>
                <w:rStyle w:val="Hyperlink"/>
                <w:rFonts w:cs="Arial"/>
                <w:color w:val="auto"/>
              </w:rPr>
              <w:t xml:space="preserve"> </w:t>
            </w:r>
          </w:p>
          <w:p w14:paraId="2A7D552A" w14:textId="49C23FF9" w:rsidR="00BF58F6" w:rsidRDefault="00BF58F6" w:rsidP="00BF58F6">
            <w:pPr>
              <w:pStyle w:val="TableRowCentered"/>
              <w:ind w:left="0" w:right="0"/>
              <w:jc w:val="left"/>
              <w:rPr>
                <w:sz w:val="22"/>
              </w:rPr>
            </w:pPr>
            <w:r w:rsidRPr="00BF58F6">
              <w:rPr>
                <w:rFonts w:cs="Arial"/>
                <w:color w:val="auto"/>
                <w:szCs w:val="24"/>
              </w:rPr>
              <w:t xml:space="preserve">Reading comprehension, vocabulary and other literacy skills are heavily linked with attainment in maths and English: </w:t>
            </w:r>
            <w:r w:rsidRPr="00BF58F6">
              <w:rPr>
                <w:rFonts w:cs="Arial"/>
                <w:szCs w:val="24"/>
              </w:rPr>
              <w:t>Why Closing the Word Gap Matters: Oxford Language Report</w:t>
            </w:r>
            <w:r w:rsidRPr="00BF58F6">
              <w:rPr>
                <w:rFonts w:cs="Arial"/>
                <w:b/>
                <w:szCs w:val="24"/>
              </w:rPr>
              <w:t xml:space="preserve"> </w:t>
            </w:r>
            <w:hyperlink r:id="rId21" w:history="1">
              <w:r w:rsidRPr="00BF58F6">
                <w:rPr>
                  <w:rFonts w:cs="Arial"/>
                  <w:color w:val="auto"/>
                  <w:szCs w:val="24"/>
                  <w:u w:val="single"/>
                </w:rPr>
                <w:t>word-gap.pdf (oup.com.cn)</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B095CDB" w:rsidR="00BF58F6" w:rsidRDefault="00BF58F6" w:rsidP="00BF58F6">
            <w:pPr>
              <w:pStyle w:val="TableRowCentered"/>
              <w:ind w:left="0" w:right="0"/>
              <w:jc w:val="left"/>
              <w:rPr>
                <w:sz w:val="22"/>
              </w:rPr>
            </w:pPr>
            <w:r>
              <w:rPr>
                <w:sz w:val="22"/>
              </w:rPr>
              <w:t>1, 2</w:t>
            </w:r>
          </w:p>
        </w:tc>
      </w:tr>
      <w:tr w:rsidR="00BF58F6" w14:paraId="2A7D5530" w14:textId="77777777" w:rsidTr="006B0607">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8B5B8F3" w:rsidR="00BF58F6" w:rsidRPr="00FB6599" w:rsidRDefault="00FB6599" w:rsidP="00BF58F6">
            <w:pPr>
              <w:pStyle w:val="TableRowCentered"/>
              <w:ind w:left="0" w:right="0"/>
              <w:jc w:val="left"/>
              <w:rPr>
                <w:szCs w:val="24"/>
              </w:rPr>
            </w:pPr>
            <w:r w:rsidRPr="00FB6599">
              <w:rPr>
                <w:szCs w:val="24"/>
              </w:rPr>
              <w:t>Activity and resources to meet the specific needs of disadvantaged pupils with SEND</w:t>
            </w:r>
          </w:p>
        </w:tc>
      </w:tr>
      <w:tr w:rsidR="00BF58F6" w14:paraId="3BD56AC2" w14:textId="77777777" w:rsidTr="00BF58F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4BC2D" w14:textId="731A6461" w:rsidR="00433072" w:rsidRDefault="00433072" w:rsidP="00433072">
            <w:pPr>
              <w:pStyle w:val="TableRow"/>
              <w:ind w:left="0"/>
              <w:rPr>
                <w:iCs/>
              </w:rPr>
            </w:pPr>
            <w:r w:rsidRPr="00433072">
              <w:rPr>
                <w:iCs/>
              </w:rPr>
              <w:t>SEND Gateway curriculum provision- is a mirrored curriculum to mainstream provision. Smaller class sizes, that are fluid groups.</w:t>
            </w:r>
          </w:p>
          <w:p w14:paraId="34F2F972" w14:textId="77777777" w:rsidR="007577E6" w:rsidRPr="00433072" w:rsidRDefault="007577E6" w:rsidP="00433072">
            <w:pPr>
              <w:pStyle w:val="TableRow"/>
              <w:ind w:left="0"/>
              <w:rPr>
                <w:iCs/>
              </w:rPr>
            </w:pPr>
          </w:p>
          <w:p w14:paraId="35F53B78" w14:textId="452D20B4" w:rsidR="00BF58F6" w:rsidRPr="00FB6599" w:rsidRDefault="00433072" w:rsidP="00433072">
            <w:pPr>
              <w:pStyle w:val="TableRow"/>
              <w:ind w:left="0" w:right="0"/>
              <w:rPr>
                <w:i/>
              </w:rPr>
            </w:pPr>
            <w:r w:rsidRPr="00433072">
              <w:rPr>
                <w:iCs/>
              </w:rPr>
              <w:t xml:space="preserve">Blending the SEND and Reading </w:t>
            </w:r>
            <w:r w:rsidR="008169F5">
              <w:rPr>
                <w:iCs/>
              </w:rPr>
              <w:t xml:space="preserve">&amp; </w:t>
            </w:r>
            <w:r w:rsidRPr="00433072">
              <w:rPr>
                <w:iCs/>
              </w:rPr>
              <w:t>Disciplinary Literacy workstreams to provide literacy intervention for SEND students.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658E" w14:textId="77777777" w:rsidR="00E24B00" w:rsidRPr="00E24B00" w:rsidRDefault="00E24B00" w:rsidP="00E24B00">
            <w:pPr>
              <w:pStyle w:val="paragraph"/>
              <w:spacing w:before="0" w:beforeAutospacing="0" w:after="0" w:afterAutospacing="0"/>
              <w:textAlignment w:val="baseline"/>
              <w:rPr>
                <w:rFonts w:ascii="Arial" w:hAnsi="Arial" w:cs="Arial"/>
                <w:color w:val="000000" w:themeColor="text1"/>
              </w:rPr>
            </w:pPr>
            <w:r w:rsidRPr="00E24B00">
              <w:rPr>
                <w:rStyle w:val="normaltextrun"/>
                <w:rFonts w:ascii="Arial" w:hAnsi="Arial" w:cs="Arial"/>
                <w:color w:val="000000" w:themeColor="text1"/>
                <w:shd w:val="clear" w:color="auto" w:fill="FFFFFF"/>
              </w:rPr>
              <w:t>The curriculum intent of the “GAA Gateway Provision” is to provide an ambitious, knowledge rich, bespoke learning provision, for those pupils who need an enhanced learning experience in order to be “mainstream adaptation” ready.​</w:t>
            </w:r>
            <w:r w:rsidRPr="00E24B00">
              <w:rPr>
                <w:rStyle w:val="eop"/>
                <w:rFonts w:ascii="Arial" w:hAnsi="Arial" w:cs="Arial"/>
                <w:color w:val="000000" w:themeColor="text1"/>
              </w:rPr>
              <w:t> </w:t>
            </w:r>
          </w:p>
          <w:p w14:paraId="146E06E1" w14:textId="77777777" w:rsidR="00E24B00" w:rsidRPr="00E24B00" w:rsidRDefault="00E24B00" w:rsidP="00E24B00">
            <w:pPr>
              <w:pStyle w:val="paragraph"/>
              <w:spacing w:before="0" w:beforeAutospacing="0" w:after="0" w:afterAutospacing="0"/>
              <w:textAlignment w:val="baseline"/>
              <w:rPr>
                <w:rFonts w:ascii="Arial" w:hAnsi="Arial" w:cs="Arial"/>
                <w:color w:val="000000" w:themeColor="text1"/>
              </w:rPr>
            </w:pPr>
            <w:r w:rsidRPr="00E24B00">
              <w:rPr>
                <w:rStyle w:val="normaltextrun"/>
                <w:rFonts w:ascii="Arial" w:hAnsi="Arial" w:cs="Arial"/>
                <w:color w:val="000000" w:themeColor="text1"/>
                <w:shd w:val="clear" w:color="auto" w:fill="FFFFFF"/>
              </w:rPr>
              <w:t xml:space="preserve">EEF- </w:t>
            </w:r>
            <w:hyperlink r:id="rId22" w:tgtFrame="_blank" w:history="1">
              <w:r w:rsidRPr="00E24B00">
                <w:rPr>
                  <w:rStyle w:val="normaltextrun"/>
                  <w:rFonts w:ascii="Arial" w:hAnsi="Arial" w:cs="Arial"/>
                  <w:color w:val="000000" w:themeColor="text1"/>
                  <w:u w:val="single"/>
                  <w:shd w:val="clear" w:color="auto" w:fill="FFFFFF"/>
                </w:rPr>
                <w:t>Special Educational Needs In Mainstream Schools.</w:t>
              </w:r>
            </w:hyperlink>
            <w:r w:rsidRPr="00E24B00">
              <w:rPr>
                <w:rStyle w:val="eop"/>
                <w:rFonts w:ascii="Arial" w:hAnsi="Arial" w:cs="Arial"/>
                <w:color w:val="000000" w:themeColor="text1"/>
              </w:rPr>
              <w:t> </w:t>
            </w:r>
          </w:p>
          <w:p w14:paraId="5C0A96D1" w14:textId="77777777" w:rsidR="00E24B00" w:rsidRPr="00E24B00" w:rsidRDefault="00B82BA6" w:rsidP="00E24B00">
            <w:pPr>
              <w:pStyle w:val="paragraph"/>
              <w:spacing w:before="0" w:beforeAutospacing="0" w:after="0" w:afterAutospacing="0"/>
              <w:textAlignment w:val="baseline"/>
              <w:rPr>
                <w:rFonts w:ascii="Arial" w:hAnsi="Arial" w:cs="Arial"/>
                <w:color w:val="000000" w:themeColor="text1"/>
              </w:rPr>
            </w:pPr>
            <w:hyperlink r:id="rId23" w:tgtFrame="_blank" w:history="1">
              <w:r w:rsidR="00E24B00" w:rsidRPr="00E24B00">
                <w:rPr>
                  <w:rStyle w:val="normaltextrun"/>
                  <w:rFonts w:ascii="Arial" w:hAnsi="Arial" w:cs="Arial"/>
                  <w:color w:val="000000" w:themeColor="text1"/>
                  <w:u w:val="single"/>
                  <w:shd w:val="clear" w:color="auto" w:fill="FFFFFF"/>
                </w:rPr>
                <w:t>EEF-High quality teaching benefits pupils with SEND.  The ‘Five-a-day’ Principle.</w:t>
              </w:r>
            </w:hyperlink>
            <w:r w:rsidR="00E24B00" w:rsidRPr="00E24B00">
              <w:rPr>
                <w:rStyle w:val="eop"/>
                <w:rFonts w:ascii="Arial" w:hAnsi="Arial" w:cs="Arial"/>
                <w:color w:val="000000" w:themeColor="text1"/>
              </w:rPr>
              <w:t> </w:t>
            </w:r>
          </w:p>
          <w:p w14:paraId="1BF73DC4" w14:textId="77777777" w:rsidR="00BF58F6" w:rsidRDefault="00BF58F6" w:rsidP="00BF58F6">
            <w:pPr>
              <w:pStyle w:val="TableRowCentered"/>
              <w:ind w:left="0" w:right="0"/>
              <w:jc w:val="left"/>
              <w:rPr>
                <w:sz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5381" w14:textId="6CAD3734" w:rsidR="00BF58F6" w:rsidRDefault="00E24B00" w:rsidP="00BF58F6">
            <w:pPr>
              <w:pStyle w:val="TableRowCentered"/>
              <w:ind w:left="0" w:right="0"/>
              <w:jc w:val="left"/>
              <w:rPr>
                <w:sz w:val="22"/>
              </w:rPr>
            </w:pPr>
            <w:r>
              <w:rPr>
                <w:sz w:val="22"/>
              </w:rPr>
              <w:t>All</w:t>
            </w:r>
          </w:p>
        </w:tc>
      </w:tr>
      <w:tr w:rsidR="00B519F1" w14:paraId="47348C27" w14:textId="77777777" w:rsidTr="00910C82">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34BED" w14:textId="1BC2EC78" w:rsidR="00B519F1" w:rsidRPr="00B519F1" w:rsidRDefault="00B519F1" w:rsidP="00B519F1">
            <w:pPr>
              <w:pStyle w:val="TableRowCentered"/>
              <w:ind w:left="0" w:right="0"/>
              <w:jc w:val="left"/>
              <w:rPr>
                <w:rFonts w:cs="Arial"/>
                <w:szCs w:val="24"/>
              </w:rPr>
            </w:pPr>
            <w:r w:rsidRPr="00B519F1">
              <w:rPr>
                <w:rFonts w:cs="Arial"/>
                <w:bCs/>
                <w:szCs w:val="24"/>
              </w:rPr>
              <w:t>Teaching assistant deployment and interventions</w:t>
            </w:r>
          </w:p>
        </w:tc>
      </w:tr>
      <w:tr w:rsidR="00B519F1" w14:paraId="307DE446" w14:textId="77777777" w:rsidTr="00BF58F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57CF" w14:textId="156C7B1C" w:rsidR="007F1A23" w:rsidRPr="007F1A23" w:rsidRDefault="007F1A23" w:rsidP="007F1A23">
            <w:pPr>
              <w:pStyle w:val="TableRow"/>
              <w:ind w:left="0"/>
              <w:rPr>
                <w:iCs/>
              </w:rPr>
            </w:pPr>
            <w:r w:rsidRPr="007F1A23">
              <w:rPr>
                <w:iCs/>
              </w:rPr>
              <w:t>Targeted support in Inclusion area.</w:t>
            </w:r>
            <w:r w:rsidR="00E21F58">
              <w:rPr>
                <w:iCs/>
              </w:rPr>
              <w:t xml:space="preserve"> </w:t>
            </w:r>
            <w:r w:rsidRPr="007F1A23">
              <w:rPr>
                <w:iCs/>
              </w:rPr>
              <w:t>Including the preparation and</w:t>
            </w:r>
          </w:p>
          <w:p w14:paraId="1C2A6410" w14:textId="42520AFB" w:rsidR="00B519F1" w:rsidRPr="00E21F58" w:rsidRDefault="007F1A23" w:rsidP="00E21F58">
            <w:pPr>
              <w:pStyle w:val="TableRow"/>
              <w:ind w:left="0"/>
              <w:rPr>
                <w:iCs/>
              </w:rPr>
            </w:pPr>
            <w:r w:rsidRPr="007F1A23">
              <w:rPr>
                <w:iCs/>
              </w:rPr>
              <w:lastRenderedPageBreak/>
              <w:t>completion of bespoke Learning</w:t>
            </w:r>
            <w:r w:rsidR="00E21F58">
              <w:rPr>
                <w:iCs/>
              </w:rPr>
              <w:t xml:space="preserve"> </w:t>
            </w:r>
            <w:r w:rsidRPr="007F1A23">
              <w:rPr>
                <w:iCs/>
              </w:rPr>
              <w:t>Plans for SEND</w:t>
            </w:r>
            <w:r w:rsidR="00E21F58">
              <w:rPr>
                <w:iCs/>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6D841" w14:textId="77777777" w:rsidR="0058622D" w:rsidRPr="0058622D" w:rsidRDefault="0058622D" w:rsidP="0058622D">
            <w:pPr>
              <w:suppressAutoHyphens w:val="0"/>
              <w:autoSpaceDN/>
              <w:spacing w:before="60" w:after="60" w:line="240" w:lineRule="auto"/>
              <w:ind w:left="57" w:right="57"/>
              <w:rPr>
                <w:rFonts w:cs="Arial"/>
                <w:color w:val="000000" w:themeColor="text1"/>
              </w:rPr>
            </w:pPr>
            <w:r w:rsidRPr="0058622D">
              <w:rPr>
                <w:rFonts w:cs="Arial"/>
                <w:color w:val="000000" w:themeColor="text1"/>
              </w:rPr>
              <w:lastRenderedPageBreak/>
              <w:t xml:space="preserve">Effective use of teaching assistants has been proven to support pupil progress by 4 months. </w:t>
            </w:r>
            <w:r w:rsidRPr="0058622D">
              <w:rPr>
                <w:rFonts w:cs="Arial"/>
                <w:color w:val="000000" w:themeColor="text1"/>
                <w:shd w:val="clear" w:color="auto" w:fill="FFFFFF"/>
              </w:rPr>
              <w:t xml:space="preserve">In England, positive effects have been found in </w:t>
            </w:r>
            <w:r w:rsidRPr="0058622D">
              <w:rPr>
                <w:rFonts w:cs="Arial"/>
                <w:color w:val="000000" w:themeColor="text1"/>
                <w:shd w:val="clear" w:color="auto" w:fill="FFFFFF"/>
              </w:rPr>
              <w:lastRenderedPageBreak/>
              <w:t>studies where teaching assistants deliver high-quality structured interventions which deliver short sessions, over a finite period, and link learning to classroom teaching, </w:t>
            </w:r>
            <w:proofErr w:type="gramStart"/>
            <w:r w:rsidRPr="0058622D">
              <w:rPr>
                <w:rFonts w:cs="Arial"/>
                <w:color w:val="000000" w:themeColor="text1"/>
                <w:shd w:val="clear" w:color="auto" w:fill="FFFFFF"/>
              </w:rPr>
              <w:t>It</w:t>
            </w:r>
            <w:proofErr w:type="gramEnd"/>
            <w:r w:rsidRPr="0058622D">
              <w:rPr>
                <w:rFonts w:cs="Arial"/>
                <w:color w:val="000000" w:themeColor="text1"/>
                <w:shd w:val="clear" w:color="auto" w:fill="FFFFFF"/>
              </w:rPr>
              <w:t xml:space="preserve"> has also been shown to improve attitudes and wellbeing. </w:t>
            </w:r>
          </w:p>
          <w:p w14:paraId="20031274" w14:textId="77777777" w:rsidR="0058622D" w:rsidRPr="0058622D" w:rsidRDefault="0058622D" w:rsidP="0058622D">
            <w:pPr>
              <w:suppressAutoHyphens w:val="0"/>
              <w:autoSpaceDN/>
              <w:spacing w:before="60" w:after="60" w:line="240" w:lineRule="auto"/>
              <w:ind w:left="57" w:right="57"/>
              <w:rPr>
                <w:rFonts w:cs="Arial"/>
                <w:color w:val="000000" w:themeColor="text1"/>
              </w:rPr>
            </w:pPr>
          </w:p>
          <w:p w14:paraId="214D8C9C" w14:textId="30E7A1A4" w:rsidR="00B519F1" w:rsidRPr="0058622D" w:rsidRDefault="00B82BA6" w:rsidP="0058622D">
            <w:pPr>
              <w:pStyle w:val="TableRowCentered"/>
              <w:ind w:left="0" w:right="0"/>
              <w:jc w:val="left"/>
              <w:rPr>
                <w:rFonts w:cs="Arial"/>
                <w:szCs w:val="24"/>
              </w:rPr>
            </w:pPr>
            <w:hyperlink r:id="rId24" w:history="1">
              <w:r w:rsidR="0058622D" w:rsidRPr="0058622D">
                <w:rPr>
                  <w:rStyle w:val="Hyperlink"/>
                  <w:rFonts w:cs="Arial"/>
                  <w:color w:val="000000" w:themeColor="text1"/>
                  <w:szCs w:val="24"/>
                </w:rPr>
                <w:t>Teaching Assistant Interventions | EEF (educationendowmentfoundation.org.uk)</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80B7F" w14:textId="086D9342" w:rsidR="00B519F1" w:rsidRDefault="0058622D" w:rsidP="00B519F1">
            <w:pPr>
              <w:pStyle w:val="TableRowCentered"/>
              <w:ind w:left="0" w:right="0"/>
              <w:jc w:val="left"/>
              <w:rPr>
                <w:sz w:val="22"/>
              </w:rPr>
            </w:pPr>
            <w:r>
              <w:rPr>
                <w:sz w:val="22"/>
              </w:rPr>
              <w:lastRenderedPageBreak/>
              <w:t xml:space="preserve">1, 2 </w:t>
            </w:r>
          </w:p>
        </w:tc>
      </w:tr>
      <w:tr w:rsidR="00B17A2A" w14:paraId="0E6BE320" w14:textId="77777777" w:rsidTr="00BD20A8">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E7F72" w14:textId="5A8C7043" w:rsidR="00B17A2A" w:rsidRPr="00B86603" w:rsidRDefault="00B86603" w:rsidP="00B519F1">
            <w:pPr>
              <w:pStyle w:val="TableRowCentered"/>
              <w:ind w:left="0" w:right="0"/>
              <w:jc w:val="left"/>
              <w:rPr>
                <w:szCs w:val="24"/>
              </w:rPr>
            </w:pPr>
            <w:r w:rsidRPr="00B86603">
              <w:rPr>
                <w:szCs w:val="24"/>
              </w:rPr>
              <w:t>One to one and small group tuition</w:t>
            </w:r>
          </w:p>
        </w:tc>
      </w:tr>
      <w:tr w:rsidR="00701608" w14:paraId="7E6BDB1A" w14:textId="77777777" w:rsidTr="00BF58F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55ABD" w14:textId="5C40358E" w:rsidR="002958FE" w:rsidRDefault="009D4EED" w:rsidP="00701608">
            <w:pPr>
              <w:pStyle w:val="TableRow"/>
              <w:rPr>
                <w:rFonts w:cs="Arial"/>
                <w:iCs/>
              </w:rPr>
            </w:pPr>
            <w:r>
              <w:rPr>
                <w:rFonts w:cs="Arial"/>
                <w:iCs/>
              </w:rPr>
              <w:t>Academic</w:t>
            </w:r>
            <w:r w:rsidR="002958FE">
              <w:rPr>
                <w:rFonts w:cs="Arial"/>
                <w:iCs/>
              </w:rPr>
              <w:t xml:space="preserve"> mentor for </w:t>
            </w:r>
            <w:r w:rsidR="00FF37B5">
              <w:rPr>
                <w:rFonts w:cs="Arial"/>
                <w:iCs/>
              </w:rPr>
              <w:t xml:space="preserve">KS4 </w:t>
            </w:r>
            <w:r w:rsidR="002958FE">
              <w:rPr>
                <w:rFonts w:cs="Arial"/>
                <w:iCs/>
              </w:rPr>
              <w:t xml:space="preserve">English </w:t>
            </w:r>
          </w:p>
          <w:p w14:paraId="0AA02DE1" w14:textId="77777777" w:rsidR="002958FE" w:rsidRDefault="002958FE" w:rsidP="00701608">
            <w:pPr>
              <w:pStyle w:val="TableRow"/>
              <w:rPr>
                <w:rFonts w:cs="Arial"/>
                <w:iCs/>
              </w:rPr>
            </w:pPr>
          </w:p>
          <w:p w14:paraId="195631AB" w14:textId="77777777" w:rsidR="00701608" w:rsidRPr="007F1A23" w:rsidRDefault="00701608" w:rsidP="009D4EED">
            <w:pPr>
              <w:pStyle w:val="TableRow"/>
              <w:rPr>
                <w:i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D6DB" w14:textId="77777777" w:rsidR="00701608" w:rsidRPr="00701608" w:rsidRDefault="00B82BA6" w:rsidP="00701608">
            <w:pPr>
              <w:rPr>
                <w:rFonts w:cs="Arial"/>
              </w:rPr>
            </w:pPr>
            <w:hyperlink r:id="rId25" w:history="1">
              <w:r w:rsidR="00701608" w:rsidRPr="00701608">
                <w:rPr>
                  <w:rStyle w:val="Hyperlink"/>
                  <w:rFonts w:cs="Arial"/>
                </w:rPr>
                <w:t>Tier 2 Pupil Premium- The tiered Model and menu of approaches.</w:t>
              </w:r>
            </w:hyperlink>
          </w:p>
          <w:p w14:paraId="487C76E2" w14:textId="77777777" w:rsidR="00701608" w:rsidRPr="00701608" w:rsidRDefault="00B82BA6" w:rsidP="00701608">
            <w:pPr>
              <w:rPr>
                <w:rFonts w:cs="Arial"/>
              </w:rPr>
            </w:pPr>
            <w:hyperlink r:id="rId26" w:anchor=":~:text=On%20average%2C%20mentoring%20appears%20to,to%20school%2C%20attendance%20and%20behaviour" w:history="1">
              <w:r w:rsidR="00701608" w:rsidRPr="00701608">
                <w:rPr>
                  <w:rStyle w:val="Hyperlink"/>
                  <w:rFonts w:cs="Arial"/>
                </w:rPr>
                <w:t>EEF - Mentoring</w:t>
              </w:r>
            </w:hyperlink>
            <w:r w:rsidR="00701608" w:rsidRPr="00701608">
              <w:rPr>
                <w:rFonts w:cs="Arial"/>
              </w:rPr>
              <w:t xml:space="preserve"> – impact of effective mentoring programmes</w:t>
            </w:r>
          </w:p>
          <w:p w14:paraId="69E9A872" w14:textId="77777777" w:rsidR="00701608" w:rsidRPr="00701608" w:rsidRDefault="00B82BA6" w:rsidP="00701608">
            <w:pPr>
              <w:rPr>
                <w:rFonts w:cs="Arial"/>
              </w:rPr>
            </w:pPr>
            <w:hyperlink r:id="rId27" w:history="1">
              <w:r w:rsidR="00701608" w:rsidRPr="00701608">
                <w:rPr>
                  <w:rStyle w:val="Hyperlink"/>
                  <w:rFonts w:cs="Arial"/>
                </w:rPr>
                <w:t>EEF Target Model – (Page 18)</w:t>
              </w:r>
            </w:hyperlink>
            <w:r w:rsidR="00701608" w:rsidRPr="00701608">
              <w:rPr>
                <w:rStyle w:val="Hyperlink"/>
                <w:rFonts w:cs="Arial"/>
              </w:rPr>
              <w:t xml:space="preserve"> </w:t>
            </w:r>
            <w:r w:rsidR="00701608" w:rsidRPr="00701608">
              <w:rPr>
                <w:rFonts w:cs="Arial"/>
              </w:rPr>
              <w:t>EEF =121 Tutoring +5 Months, Small Group Tutoring +4 Months</w:t>
            </w:r>
          </w:p>
          <w:p w14:paraId="43F01047" w14:textId="77777777" w:rsidR="00701608" w:rsidRPr="00701608" w:rsidRDefault="00701608" w:rsidP="00701608">
            <w:pPr>
              <w:rPr>
                <w:rFonts w:cs="Arial"/>
              </w:rPr>
            </w:pPr>
            <w:r w:rsidRPr="00701608">
              <w:rPr>
                <w:rFonts w:cs="Arial"/>
              </w:rPr>
              <w:t xml:space="preserve">EEF- </w:t>
            </w:r>
            <w:hyperlink r:id="rId28" w:history="1">
              <w:r w:rsidRPr="00701608">
                <w:rPr>
                  <w:rStyle w:val="Hyperlink"/>
                  <w:rFonts w:cs="Arial"/>
                </w:rPr>
                <w:t>Guidance for teachers mathematics.</w:t>
              </w:r>
            </w:hyperlink>
            <w:r w:rsidRPr="00701608">
              <w:rPr>
                <w:rFonts w:cs="Arial"/>
              </w:rPr>
              <w:t xml:space="preserve"> Evidence suggest that targeted specific intervention increases pupil confidence and overall grades.</w:t>
            </w:r>
          </w:p>
          <w:p w14:paraId="6BAD5F17" w14:textId="77777777" w:rsidR="00701608" w:rsidRPr="00701608" w:rsidRDefault="00701608" w:rsidP="00701608">
            <w:pPr>
              <w:rPr>
                <w:rFonts w:cs="Arial"/>
              </w:rPr>
            </w:pPr>
            <w:r w:rsidRPr="00701608">
              <w:rPr>
                <w:rFonts w:cs="Arial"/>
              </w:rPr>
              <w:t xml:space="preserve">Sir Kevan Collins (Previous CEO EEF) - </w:t>
            </w:r>
            <w:r w:rsidRPr="00701608">
              <w:rPr>
                <w:rFonts w:cs="Arial"/>
                <w:color w:val="auto"/>
              </w:rPr>
              <w:t>Tuition targeted at specific needs and knowledge gaps can be an effective method to support low attaining pupils or those falling behind, both one-to-one:</w:t>
            </w:r>
          </w:p>
          <w:p w14:paraId="7525D363" w14:textId="77777777" w:rsidR="00701608" w:rsidRPr="00701608" w:rsidRDefault="00B82BA6" w:rsidP="00701608">
            <w:pPr>
              <w:suppressAutoHyphens w:val="0"/>
              <w:spacing w:before="60" w:after="60" w:line="240" w:lineRule="auto"/>
              <w:ind w:right="57"/>
              <w:rPr>
                <w:rFonts w:cs="Arial"/>
                <w:color w:val="0070C0"/>
              </w:rPr>
            </w:pPr>
            <w:hyperlink r:id="rId29" w:history="1">
              <w:r w:rsidR="00701608" w:rsidRPr="00701608">
                <w:rPr>
                  <w:rStyle w:val="Hyperlink"/>
                  <w:rFonts w:cs="Arial"/>
                  <w:color w:val="0070C0"/>
                </w:rPr>
                <w:t>One to one tuition | EEF (educationendowmentfoundation.org.uk)</w:t>
              </w:r>
            </w:hyperlink>
          </w:p>
          <w:p w14:paraId="472B7BAB" w14:textId="77777777" w:rsidR="00701608" w:rsidRPr="00701608" w:rsidRDefault="00701608" w:rsidP="00701608">
            <w:pPr>
              <w:suppressAutoHyphens w:val="0"/>
              <w:spacing w:before="60" w:after="60" w:line="240" w:lineRule="auto"/>
              <w:ind w:right="57"/>
              <w:rPr>
                <w:rFonts w:cs="Arial"/>
                <w:color w:val="auto"/>
              </w:rPr>
            </w:pPr>
          </w:p>
          <w:p w14:paraId="6A342EF4" w14:textId="77777777" w:rsidR="00701608" w:rsidRPr="00701608" w:rsidRDefault="00701608" w:rsidP="00701608">
            <w:pPr>
              <w:suppressAutoHyphens w:val="0"/>
              <w:spacing w:before="60" w:after="60" w:line="240" w:lineRule="auto"/>
              <w:ind w:right="57"/>
              <w:rPr>
                <w:rFonts w:cs="Arial"/>
                <w:color w:val="auto"/>
              </w:rPr>
            </w:pPr>
            <w:r w:rsidRPr="00701608">
              <w:rPr>
                <w:rFonts w:cs="Arial"/>
                <w:color w:val="auto"/>
              </w:rPr>
              <w:t>And in small groups:</w:t>
            </w:r>
          </w:p>
          <w:p w14:paraId="6EFA2CB1" w14:textId="77777777" w:rsidR="00701608" w:rsidRPr="00701608" w:rsidRDefault="00B82BA6" w:rsidP="00701608">
            <w:pPr>
              <w:rPr>
                <w:rFonts w:cs="Arial"/>
                <w:color w:val="0070C0"/>
                <w:u w:val="single"/>
              </w:rPr>
            </w:pPr>
            <w:hyperlink r:id="rId30" w:history="1">
              <w:r w:rsidR="00701608" w:rsidRPr="00701608">
                <w:rPr>
                  <w:rStyle w:val="Hyperlink"/>
                  <w:rFonts w:cs="Arial"/>
                  <w:color w:val="0070C0"/>
                </w:rPr>
                <w:t>Small group tuition | Toolkit Strand | Education Endowment Foundation | EEF</w:t>
              </w:r>
            </w:hyperlink>
          </w:p>
          <w:p w14:paraId="1ABC3308" w14:textId="0E916B47" w:rsidR="00701608" w:rsidRPr="00701608" w:rsidRDefault="00B82BA6" w:rsidP="00701608">
            <w:pPr>
              <w:suppressAutoHyphens w:val="0"/>
              <w:autoSpaceDN/>
              <w:spacing w:before="60" w:after="60" w:line="240" w:lineRule="auto"/>
              <w:ind w:left="57" w:right="57"/>
              <w:rPr>
                <w:rFonts w:cs="Arial"/>
                <w:color w:val="000000" w:themeColor="text1"/>
              </w:rPr>
            </w:pPr>
            <w:hyperlink r:id="rId31" w:history="1">
              <w:r w:rsidR="00701608" w:rsidRPr="00701608">
                <w:rPr>
                  <w:rStyle w:val="Hyperlink"/>
                  <w:rFonts w:cs="Arial"/>
                </w:rPr>
                <w:t>Independent review of tutoring in schools: phase 1 findings - GOV.UK (www.gov.uk)</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E7F71" w14:textId="45528D92" w:rsidR="00701608" w:rsidRDefault="00701608" w:rsidP="00701608">
            <w:pPr>
              <w:pStyle w:val="TableRowCentered"/>
              <w:ind w:left="0" w:right="0"/>
              <w:jc w:val="left"/>
              <w:rPr>
                <w:sz w:val="22"/>
              </w:rPr>
            </w:pPr>
            <w:r>
              <w:rPr>
                <w:sz w:val="22"/>
              </w:rPr>
              <w:t>1, 2, 3, 4, 5</w:t>
            </w:r>
          </w:p>
        </w:tc>
      </w:tr>
      <w:tr w:rsidR="00701608" w14:paraId="39868857" w14:textId="77777777" w:rsidTr="00BF58F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8BFC1" w14:textId="097AC983" w:rsidR="00701608" w:rsidRPr="006306FE" w:rsidRDefault="00DD2A57" w:rsidP="00701608">
            <w:pPr>
              <w:pStyle w:val="TableRow"/>
              <w:rPr>
                <w:rFonts w:cs="Arial"/>
                <w:iCs/>
              </w:rPr>
            </w:pPr>
            <w:r w:rsidRPr="00DD2A57">
              <w:rPr>
                <w:rFonts w:cs="Arial"/>
                <w:iCs/>
              </w:rPr>
              <w:lastRenderedPageBreak/>
              <w:t>Sunset Sessions- Year 11 After school intervention programme.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9BAD" w14:textId="77777777" w:rsidR="005E2079" w:rsidRPr="005E2079" w:rsidRDefault="005E2079" w:rsidP="005E2079">
            <w:pPr>
              <w:suppressAutoHyphens w:val="0"/>
              <w:autoSpaceDN/>
              <w:spacing w:before="60" w:after="60" w:line="240" w:lineRule="auto"/>
              <w:ind w:left="57" w:right="57"/>
              <w:rPr>
                <w:rFonts w:cs="Arial"/>
                <w:color w:val="auto"/>
              </w:rPr>
            </w:pPr>
            <w:r w:rsidRPr="005E2079">
              <w:rPr>
                <w:rFonts w:cs="Arial"/>
                <w:color w:val="auto"/>
              </w:rPr>
              <w:t>Tuition targeted at specific needs and knowledge gaps can be an effective method to support low attaining pupils or those falling behind, both one-to-one:</w:t>
            </w:r>
          </w:p>
          <w:p w14:paraId="67F8ECD9" w14:textId="77777777" w:rsidR="005E2079" w:rsidRPr="005E2079" w:rsidRDefault="00B82BA6" w:rsidP="005E2079">
            <w:pPr>
              <w:suppressAutoHyphens w:val="0"/>
              <w:autoSpaceDN/>
              <w:spacing w:before="60" w:after="60" w:line="240" w:lineRule="auto"/>
              <w:ind w:left="57" w:right="57"/>
              <w:rPr>
                <w:rFonts w:cs="Arial"/>
                <w:color w:val="000000" w:themeColor="text1"/>
              </w:rPr>
            </w:pPr>
            <w:hyperlink r:id="rId32" w:history="1">
              <w:r w:rsidR="005E2079" w:rsidRPr="005E2079">
                <w:rPr>
                  <w:rFonts w:cs="Arial"/>
                  <w:color w:val="000000" w:themeColor="text1"/>
                  <w:u w:val="single"/>
                </w:rPr>
                <w:t>One to one tuition | EEF (educationendowmentfoundation.org.uk)</w:t>
              </w:r>
            </w:hyperlink>
          </w:p>
          <w:p w14:paraId="53A33918" w14:textId="77777777" w:rsidR="005E2079" w:rsidRPr="005E2079" w:rsidRDefault="005E2079" w:rsidP="005E2079">
            <w:pPr>
              <w:suppressAutoHyphens w:val="0"/>
              <w:autoSpaceDN/>
              <w:spacing w:before="60" w:after="60" w:line="240" w:lineRule="auto"/>
              <w:ind w:left="57" w:right="57"/>
              <w:rPr>
                <w:rFonts w:cs="Arial"/>
                <w:color w:val="000000" w:themeColor="text1"/>
              </w:rPr>
            </w:pPr>
            <w:r w:rsidRPr="005E2079">
              <w:rPr>
                <w:rFonts w:cs="Arial"/>
                <w:color w:val="000000" w:themeColor="text1"/>
              </w:rPr>
              <w:t>And in small groups:</w:t>
            </w:r>
          </w:p>
          <w:p w14:paraId="7CC1098E" w14:textId="37D22CA7" w:rsidR="00701608" w:rsidRPr="00701608" w:rsidRDefault="00B82BA6" w:rsidP="005E2079">
            <w:pPr>
              <w:rPr>
                <w:rFonts w:cs="Arial"/>
              </w:rPr>
            </w:pPr>
            <w:hyperlink r:id="rId33" w:history="1">
              <w:r w:rsidR="005E2079" w:rsidRPr="005E2079">
                <w:rPr>
                  <w:rFonts w:cs="Arial"/>
                  <w:color w:val="000000" w:themeColor="text1"/>
                  <w:u w:val="single"/>
                </w:rPr>
                <w:t>Small group tuition | Toolkit Strand | Education Endowment Foundation | EEF</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8081" w14:textId="352730F8" w:rsidR="00701608" w:rsidRPr="005E2079" w:rsidRDefault="005E2079" w:rsidP="00701608">
            <w:pPr>
              <w:pStyle w:val="TableRowCentered"/>
              <w:ind w:left="0" w:right="0"/>
              <w:jc w:val="left"/>
              <w:rPr>
                <w:szCs w:val="24"/>
              </w:rPr>
            </w:pPr>
            <w:r>
              <w:rPr>
                <w:szCs w:val="24"/>
              </w:rPr>
              <w:t>1</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099AF05B" w:rsidR="00E66558" w:rsidRDefault="009D71E8">
      <w:pPr>
        <w:spacing w:before="240" w:after="120"/>
      </w:pPr>
      <w:r>
        <w:t xml:space="preserve">Budgeted cost: </w:t>
      </w:r>
      <w:r w:rsidR="006B51E9">
        <w:t>£176,000</w:t>
      </w:r>
    </w:p>
    <w:tbl>
      <w:tblPr>
        <w:tblW w:w="5000" w:type="pct"/>
        <w:tblCellMar>
          <w:left w:w="10" w:type="dxa"/>
          <w:right w:w="10" w:type="dxa"/>
        </w:tblCellMar>
        <w:tblLook w:val="04A0" w:firstRow="1" w:lastRow="0" w:firstColumn="1" w:lastColumn="0" w:noHBand="0" w:noVBand="1"/>
      </w:tblPr>
      <w:tblGrid>
        <w:gridCol w:w="2674"/>
        <w:gridCol w:w="5379"/>
        <w:gridCol w:w="1433"/>
      </w:tblGrid>
      <w:tr w:rsidR="00E66558" w14:paraId="2A7D5537" w14:textId="77777777" w:rsidTr="00BF6BEE">
        <w:tc>
          <w:tcPr>
            <w:tcW w:w="26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5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24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4430E9" w14:paraId="611F9D57" w14:textId="77777777" w:rsidTr="000C200F">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CEFFD" w14:textId="292155B3" w:rsidR="004430E9" w:rsidRPr="00F6483E" w:rsidRDefault="00F6483E" w:rsidP="00C31636">
            <w:pPr>
              <w:pStyle w:val="TableRowCentered"/>
              <w:ind w:left="0" w:right="0"/>
              <w:jc w:val="left"/>
              <w:rPr>
                <w:szCs w:val="24"/>
              </w:rPr>
            </w:pPr>
            <w:r w:rsidRPr="00F6483E">
              <w:rPr>
                <w:szCs w:val="24"/>
              </w:rPr>
              <w:t>Supporting pupils’ social, emotional and behavioural needs</w:t>
            </w:r>
          </w:p>
        </w:tc>
      </w:tr>
      <w:tr w:rsidR="00E66558" w14:paraId="2A7D553B" w14:textId="77777777" w:rsidTr="00BF6BEE">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1304" w14:textId="77777777" w:rsidR="00700932" w:rsidRPr="009102CD" w:rsidRDefault="00700932" w:rsidP="00700932">
            <w:pPr>
              <w:pStyle w:val="TableRow"/>
              <w:ind w:left="0"/>
            </w:pPr>
            <w:r w:rsidRPr="009102CD">
              <w:t>Significant expansion of the safeguarding team.</w:t>
            </w:r>
          </w:p>
          <w:p w14:paraId="30180D15" w14:textId="77777777" w:rsidR="00700932" w:rsidRPr="009102CD" w:rsidRDefault="00700932" w:rsidP="00700932">
            <w:pPr>
              <w:pStyle w:val="TableRow"/>
              <w:ind w:left="0"/>
            </w:pPr>
          </w:p>
          <w:p w14:paraId="458637FA" w14:textId="77777777" w:rsidR="00700932" w:rsidRPr="009102CD" w:rsidRDefault="00700932" w:rsidP="00700932">
            <w:pPr>
              <w:pStyle w:val="TableRow"/>
              <w:ind w:left="0"/>
            </w:pPr>
            <w:r w:rsidRPr="009102CD">
              <w:t>Full Time Emotional Health and Well-being officer.</w:t>
            </w:r>
          </w:p>
          <w:p w14:paraId="068E8D6B" w14:textId="77777777" w:rsidR="00700932" w:rsidRPr="009102CD" w:rsidRDefault="00700932" w:rsidP="00700932">
            <w:pPr>
              <w:pStyle w:val="TableRow"/>
              <w:ind w:left="0"/>
            </w:pPr>
          </w:p>
          <w:p w14:paraId="491E3C26" w14:textId="77777777" w:rsidR="00700932" w:rsidRPr="009102CD" w:rsidRDefault="00700932" w:rsidP="00700932">
            <w:pPr>
              <w:pStyle w:val="TableRow"/>
              <w:ind w:left="0"/>
            </w:pPr>
            <w:r w:rsidRPr="009102CD">
              <w:t>Full Time First Aid officer.</w:t>
            </w:r>
          </w:p>
          <w:p w14:paraId="2ADD6E53" w14:textId="77777777" w:rsidR="0002373D" w:rsidRPr="009102CD" w:rsidRDefault="0002373D" w:rsidP="0002373D">
            <w:pPr>
              <w:pStyle w:val="TableRow"/>
              <w:ind w:left="0"/>
            </w:pPr>
          </w:p>
          <w:p w14:paraId="31A11A33" w14:textId="06CABDBB" w:rsidR="00700932" w:rsidRPr="009102CD" w:rsidRDefault="00700932" w:rsidP="0002373D">
            <w:pPr>
              <w:pStyle w:val="TableRow"/>
              <w:ind w:left="0"/>
            </w:pPr>
            <w:r w:rsidRPr="009102CD">
              <w:t>Pennine Health Trust (NHS) Tameside &amp; Glossop Mental Health Support Team working in school with just below CAHMS threshold pupils.</w:t>
            </w:r>
          </w:p>
          <w:p w14:paraId="66611AEE" w14:textId="77777777" w:rsidR="0002373D" w:rsidRPr="009102CD" w:rsidRDefault="0002373D" w:rsidP="0002373D">
            <w:pPr>
              <w:pStyle w:val="TableRow"/>
              <w:ind w:left="0"/>
            </w:pPr>
          </w:p>
          <w:p w14:paraId="2A7D5538" w14:textId="0C76E3EF" w:rsidR="00E66558" w:rsidRDefault="00700932" w:rsidP="00700932">
            <w:pPr>
              <w:pStyle w:val="TableRow"/>
              <w:ind w:left="0" w:right="0"/>
            </w:pPr>
            <w:r w:rsidRPr="009102CD">
              <w:t xml:space="preserve">Anchored Schools Award, expertise from the awarding body to audit and support in </w:t>
            </w:r>
            <w:r w:rsidRPr="009102CD">
              <w:lastRenderedPageBreak/>
              <w:t xml:space="preserve">providing best practise in pupil </w:t>
            </w:r>
            <w:proofErr w:type="spellStart"/>
            <w:r w:rsidRPr="009102CD">
              <w:t>well being</w:t>
            </w:r>
            <w:proofErr w:type="spellEnd"/>
            <w:r w:rsidRPr="009102CD">
              <w: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6ABB0" w14:textId="77777777" w:rsidR="009102CD" w:rsidRPr="009102CD" w:rsidRDefault="009102CD" w:rsidP="009102CD">
            <w:pPr>
              <w:pStyle w:val="TableRowCentered"/>
              <w:ind w:left="0"/>
              <w:jc w:val="left"/>
              <w:rPr>
                <w:rFonts w:cs="Arial"/>
                <w:szCs w:val="24"/>
              </w:rPr>
            </w:pPr>
            <w:r w:rsidRPr="009102CD">
              <w:rPr>
                <w:rFonts w:cs="Arial"/>
                <w:szCs w:val="24"/>
              </w:rPr>
              <w:lastRenderedPageBreak/>
              <w:t>Social and Emotional Learning EEF +4 Months.</w:t>
            </w:r>
          </w:p>
          <w:p w14:paraId="4C154AFE" w14:textId="77777777" w:rsidR="009102CD" w:rsidRPr="009102CD" w:rsidRDefault="009102CD" w:rsidP="009102CD">
            <w:pPr>
              <w:pStyle w:val="TableRowCentered"/>
              <w:ind w:left="0"/>
              <w:jc w:val="left"/>
              <w:rPr>
                <w:rFonts w:cs="Arial"/>
                <w:szCs w:val="24"/>
              </w:rPr>
            </w:pPr>
          </w:p>
          <w:p w14:paraId="67EACAC3" w14:textId="77777777" w:rsidR="009102CD" w:rsidRPr="009102CD" w:rsidRDefault="00B82BA6" w:rsidP="009102CD">
            <w:pPr>
              <w:rPr>
                <w:rFonts w:cs="Arial"/>
              </w:rPr>
            </w:pPr>
            <w:hyperlink r:id="rId34" w:history="1">
              <w:r w:rsidR="009102CD" w:rsidRPr="009102CD">
                <w:rPr>
                  <w:rStyle w:val="Hyperlink"/>
                  <w:rFonts w:cs="Arial"/>
                </w:rPr>
                <w:t>naht-coronavirus-wellbeing-proof-4-1.pdf (annafreud.org)</w:t>
              </w:r>
            </w:hyperlink>
          </w:p>
          <w:p w14:paraId="35718889" w14:textId="77777777" w:rsidR="009102CD" w:rsidRPr="009102CD" w:rsidRDefault="00B82BA6" w:rsidP="009102CD">
            <w:pPr>
              <w:rPr>
                <w:rFonts w:cs="Arial"/>
              </w:rPr>
            </w:pPr>
            <w:hyperlink r:id="rId35" w:history="1">
              <w:proofErr w:type="gramStart"/>
              <w:r w:rsidR="009102CD" w:rsidRPr="009102CD">
                <w:rPr>
                  <w:rStyle w:val="Hyperlink"/>
                  <w:rFonts w:cs="Arial"/>
                </w:rPr>
                <w:t>Home :</w:t>
              </w:r>
              <w:proofErr w:type="gramEnd"/>
              <w:r w:rsidR="009102CD" w:rsidRPr="009102CD">
                <w:rPr>
                  <w:rStyle w:val="Hyperlink"/>
                  <w:rFonts w:cs="Arial"/>
                </w:rPr>
                <w:t xml:space="preserve"> Mentally Healthy Schools</w:t>
              </w:r>
            </w:hyperlink>
          </w:p>
          <w:p w14:paraId="5F8FC69C" w14:textId="77777777" w:rsidR="009102CD" w:rsidRPr="009102CD" w:rsidRDefault="00B82BA6" w:rsidP="009102CD">
            <w:pPr>
              <w:rPr>
                <w:rFonts w:cs="Arial"/>
              </w:rPr>
            </w:pPr>
            <w:hyperlink r:id="rId36" w:history="1">
              <w:r w:rsidR="009102CD" w:rsidRPr="009102CD">
                <w:rPr>
                  <w:rStyle w:val="Hyperlink"/>
                  <w:rFonts w:cs="Arial"/>
                </w:rPr>
                <w:t>Education recovery in schools: spring 2022 - GOV.UK (www.gov.uk)</w:t>
              </w:r>
            </w:hyperlink>
            <w:r w:rsidR="009102CD" w:rsidRPr="009102CD">
              <w:rPr>
                <w:rFonts w:cs="Arial"/>
              </w:rPr>
              <w:t xml:space="preserve"> </w:t>
            </w:r>
          </w:p>
          <w:p w14:paraId="29C33C85" w14:textId="77777777" w:rsidR="009102CD" w:rsidRPr="009102CD" w:rsidRDefault="009102CD" w:rsidP="009102CD">
            <w:pPr>
              <w:rPr>
                <w:rFonts w:cs="Arial"/>
              </w:rPr>
            </w:pPr>
          </w:p>
          <w:p w14:paraId="2A7D5539" w14:textId="41F578BB" w:rsidR="00E66558" w:rsidRPr="009102CD" w:rsidRDefault="00B82BA6" w:rsidP="009102CD">
            <w:pPr>
              <w:pStyle w:val="TableRowCentered"/>
              <w:ind w:left="0" w:right="0"/>
              <w:jc w:val="left"/>
              <w:rPr>
                <w:rFonts w:cs="Arial"/>
                <w:szCs w:val="24"/>
              </w:rPr>
            </w:pPr>
            <w:hyperlink r:id="rId37" w:history="1">
              <w:r w:rsidR="009102CD" w:rsidRPr="009102CD">
                <w:rPr>
                  <w:rStyle w:val="Hyperlink"/>
                  <w:rFonts w:cs="Arial"/>
                  <w:szCs w:val="24"/>
                </w:rPr>
                <w:t>Anchored Schools</w:t>
              </w:r>
            </w:hyperlink>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1ABDC42" w:rsidR="00E66558" w:rsidRDefault="009102CD" w:rsidP="00C31636">
            <w:pPr>
              <w:pStyle w:val="TableRowCentered"/>
              <w:ind w:left="0" w:right="0"/>
              <w:jc w:val="left"/>
              <w:rPr>
                <w:sz w:val="22"/>
              </w:rPr>
            </w:pPr>
            <w:r>
              <w:rPr>
                <w:sz w:val="22"/>
              </w:rPr>
              <w:t>1, 2, 4</w:t>
            </w:r>
          </w:p>
        </w:tc>
      </w:tr>
      <w:tr w:rsidR="009102CD" w14:paraId="2A7D553F" w14:textId="77777777" w:rsidTr="00964714">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030717A" w:rsidR="009102CD" w:rsidRPr="00F178FF" w:rsidRDefault="00DB3F4E" w:rsidP="00C31636">
            <w:pPr>
              <w:pStyle w:val="TableRowCentered"/>
              <w:ind w:left="0" w:right="0"/>
              <w:jc w:val="left"/>
              <w:rPr>
                <w:szCs w:val="24"/>
              </w:rPr>
            </w:pPr>
            <w:r w:rsidRPr="00F178FF">
              <w:rPr>
                <w:szCs w:val="24"/>
              </w:rPr>
              <w:t>Supporting attendance</w:t>
            </w:r>
          </w:p>
        </w:tc>
      </w:tr>
      <w:tr w:rsidR="009102CD" w14:paraId="39CE6177" w14:textId="77777777" w:rsidTr="00BF6BEE">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BE70A" w14:textId="77777777" w:rsidR="004F7019" w:rsidRPr="00FB2F55" w:rsidRDefault="004F7019" w:rsidP="00B8090A">
            <w:pPr>
              <w:pStyle w:val="TableRow"/>
              <w:ind w:left="0"/>
              <w:rPr>
                <w:iCs/>
              </w:rPr>
            </w:pPr>
            <w:r w:rsidRPr="00FB2F55">
              <w:rPr>
                <w:iCs/>
              </w:rPr>
              <w:t>Attendance and Punctuality team</w:t>
            </w:r>
          </w:p>
          <w:p w14:paraId="796B1989" w14:textId="77777777" w:rsidR="004F7019" w:rsidRPr="00FB2F55" w:rsidRDefault="004F7019" w:rsidP="00FB2F55">
            <w:pPr>
              <w:pStyle w:val="TableRow"/>
              <w:ind w:left="0"/>
              <w:rPr>
                <w:iCs/>
              </w:rPr>
            </w:pPr>
            <w:r w:rsidRPr="00FB2F55">
              <w:rPr>
                <w:iCs/>
              </w:rPr>
              <w:t>Increase in attendance team staffing.</w:t>
            </w:r>
          </w:p>
          <w:p w14:paraId="1CBF91BC" w14:textId="77777777" w:rsidR="004F7019" w:rsidRPr="00FB2F55" w:rsidRDefault="004F7019" w:rsidP="00B8090A">
            <w:pPr>
              <w:pStyle w:val="TableRow"/>
              <w:ind w:left="0"/>
              <w:rPr>
                <w:iCs/>
              </w:rPr>
            </w:pPr>
            <w:r w:rsidRPr="00FB2F55">
              <w:rPr>
                <w:iCs/>
              </w:rPr>
              <w:t>Continued use of a blended GAA/SOL attendance model to help:</w:t>
            </w:r>
          </w:p>
          <w:p w14:paraId="7C46A199" w14:textId="1A36E4BE" w:rsidR="004F7019" w:rsidRPr="00FB2F55" w:rsidRDefault="004F7019" w:rsidP="00FB2F55">
            <w:pPr>
              <w:pStyle w:val="TableRow"/>
              <w:numPr>
                <w:ilvl w:val="0"/>
                <w:numId w:val="31"/>
              </w:numPr>
              <w:rPr>
                <w:iCs/>
              </w:rPr>
            </w:pPr>
            <w:r w:rsidRPr="00FB2F55">
              <w:rPr>
                <w:iCs/>
              </w:rPr>
              <w:t>Target and implement bespoke plans to support PA families.</w:t>
            </w:r>
          </w:p>
          <w:p w14:paraId="3CB275A6" w14:textId="4DEFF5D3" w:rsidR="004F7019" w:rsidRPr="00FB2F55" w:rsidRDefault="004F7019" w:rsidP="00FB2F55">
            <w:pPr>
              <w:pStyle w:val="TableRow"/>
              <w:numPr>
                <w:ilvl w:val="0"/>
                <w:numId w:val="31"/>
              </w:numPr>
              <w:rPr>
                <w:iCs/>
              </w:rPr>
            </w:pPr>
            <w:r w:rsidRPr="00FB2F55">
              <w:rPr>
                <w:iCs/>
              </w:rPr>
              <w:t>Prioritises PP pupils/ home visits.</w:t>
            </w:r>
          </w:p>
          <w:p w14:paraId="25583FF1" w14:textId="3AA44E52" w:rsidR="004F7019" w:rsidRPr="00FB2F55" w:rsidRDefault="004F7019" w:rsidP="00FB2F55">
            <w:pPr>
              <w:pStyle w:val="TableRow"/>
              <w:numPr>
                <w:ilvl w:val="0"/>
                <w:numId w:val="31"/>
              </w:numPr>
              <w:rPr>
                <w:iCs/>
              </w:rPr>
            </w:pPr>
            <w:r w:rsidRPr="00FB2F55">
              <w:rPr>
                <w:iCs/>
              </w:rPr>
              <w:t>Embed rewards system.</w:t>
            </w:r>
          </w:p>
          <w:p w14:paraId="63C16AE7" w14:textId="77777777" w:rsidR="009102CD" w:rsidRPr="009A2783" w:rsidRDefault="004F7019" w:rsidP="00FB2F55">
            <w:pPr>
              <w:pStyle w:val="TableRow"/>
              <w:numPr>
                <w:ilvl w:val="0"/>
                <w:numId w:val="31"/>
              </w:numPr>
              <w:ind w:right="0"/>
              <w:rPr>
                <w:i/>
                <w:sz w:val="22"/>
              </w:rPr>
            </w:pPr>
            <w:r w:rsidRPr="00FB2F55">
              <w:rPr>
                <w:iCs/>
              </w:rPr>
              <w:t>Ensure all staff responsibility to monitor, support and challenge attendance at all levels</w:t>
            </w:r>
            <w:r w:rsidRPr="00FB2F55">
              <w:rPr>
                <w:iCs/>
                <w:sz w:val="22"/>
              </w:rPr>
              <w:t>.</w:t>
            </w:r>
          </w:p>
          <w:p w14:paraId="3B52D799" w14:textId="77777777" w:rsidR="009A2783" w:rsidRDefault="009A2783" w:rsidP="009A2783">
            <w:pPr>
              <w:pStyle w:val="TableRow"/>
              <w:ind w:right="0"/>
              <w:rPr>
                <w:iCs/>
                <w:sz w:val="22"/>
              </w:rPr>
            </w:pPr>
          </w:p>
          <w:p w14:paraId="06062636" w14:textId="2D8D532E" w:rsidR="009A2783" w:rsidRPr="009A2783" w:rsidRDefault="009A2783" w:rsidP="009A2783">
            <w:pPr>
              <w:pStyle w:val="TableRow"/>
              <w:ind w:left="0" w:right="0"/>
              <w:rPr>
                <w:iCs/>
              </w:rPr>
            </w:pPr>
            <w:r w:rsidRPr="009A2783">
              <w:rPr>
                <w:iCs/>
              </w:rPr>
              <w:t>Additional Attendance and Welfare Year Managers.</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68A37" w14:textId="77777777" w:rsidR="00B8090A" w:rsidRPr="00B8090A" w:rsidRDefault="00B8090A" w:rsidP="00B8090A">
            <w:pPr>
              <w:rPr>
                <w:rFonts w:cs="Arial"/>
              </w:rPr>
            </w:pPr>
            <w:r w:rsidRPr="00B8090A">
              <w:rPr>
                <w:rFonts w:cs="Arial"/>
              </w:rPr>
              <w:t xml:space="preserve">GAA internal data evidence that where pupils </w:t>
            </w:r>
            <w:proofErr w:type="gramStart"/>
            <w:r w:rsidRPr="00B8090A">
              <w:rPr>
                <w:rFonts w:cs="Arial"/>
              </w:rPr>
              <w:t>attend</w:t>
            </w:r>
            <w:proofErr w:type="gramEnd"/>
            <w:r w:rsidRPr="00B8090A">
              <w:rPr>
                <w:rFonts w:cs="Arial"/>
              </w:rPr>
              <w:t xml:space="preserve"> they achieve.</w:t>
            </w:r>
          </w:p>
          <w:p w14:paraId="62B135B2" w14:textId="2F8A4225" w:rsidR="00B8090A" w:rsidRPr="00B8090A" w:rsidRDefault="00B8090A" w:rsidP="00B8090A">
            <w:pPr>
              <w:rPr>
                <w:rFonts w:cs="Arial"/>
                <w:iCs/>
                <w:color w:val="000000" w:themeColor="text1"/>
                <w:lang w:val="en-US"/>
              </w:rPr>
            </w:pPr>
            <w:r w:rsidRPr="00B8090A">
              <w:rPr>
                <w:rFonts w:cs="Arial"/>
                <w:color w:val="202124"/>
                <w:shd w:val="clear" w:color="auto" w:fill="FFFFFF"/>
              </w:rPr>
              <w:t>Higher overall absence </w:t>
            </w:r>
            <w:r w:rsidRPr="00B8090A">
              <w:rPr>
                <w:rFonts w:cs="Arial"/>
                <w:b/>
                <w:bCs/>
                <w:color w:val="202124"/>
                <w:shd w:val="clear" w:color="auto" w:fill="FFFFFF"/>
              </w:rPr>
              <w:t>leads</w:t>
            </w:r>
            <w:r w:rsidRPr="00B8090A">
              <w:rPr>
                <w:rFonts w:cs="Arial"/>
                <w:color w:val="202124"/>
                <w:shd w:val="clear" w:color="auto" w:fill="FFFFFF"/>
              </w:rPr>
              <w:t> to lower </w:t>
            </w:r>
            <w:r w:rsidRPr="00B8090A">
              <w:rPr>
                <w:rFonts w:cs="Arial"/>
                <w:b/>
                <w:bCs/>
                <w:color w:val="202124"/>
                <w:shd w:val="clear" w:color="auto" w:fill="FFFFFF"/>
              </w:rPr>
              <w:t>attainment</w:t>
            </w:r>
            <w:r w:rsidRPr="00B8090A">
              <w:rPr>
                <w:rFonts w:cs="Arial"/>
                <w:color w:val="202124"/>
                <w:shd w:val="clear" w:color="auto" w:fill="FFFFFF"/>
              </w:rPr>
              <w:t> at KS2 and KS4. The Department for Education (DfE) published research in 2016 which found that: Pupils with no absence are 2.2 times more likely to achieve 5+ </w:t>
            </w:r>
            <w:r w:rsidRPr="00B8090A">
              <w:rPr>
                <w:rFonts w:cs="Arial"/>
                <w:b/>
                <w:bCs/>
                <w:color w:val="202124"/>
                <w:shd w:val="clear" w:color="auto" w:fill="FFFFFF"/>
              </w:rPr>
              <w:t>GCSEs</w:t>
            </w:r>
            <w:r w:rsidRPr="00B8090A">
              <w:rPr>
                <w:rFonts w:cs="Arial"/>
                <w:color w:val="202124"/>
                <w:shd w:val="clear" w:color="auto" w:fill="FFFFFF"/>
              </w:rPr>
              <w:t xml:space="preserve"> A*- C or equivalent including English and </w:t>
            </w:r>
            <w:r w:rsidRPr="00B8090A">
              <w:rPr>
                <w:rFonts w:cs="Arial"/>
                <w:color w:val="000000" w:themeColor="text1"/>
                <w:shd w:val="clear" w:color="auto" w:fill="FFFFFF"/>
              </w:rPr>
              <w:t>mathematics than pupils that missed 15-20% of KS4.</w:t>
            </w:r>
            <w:r w:rsidRPr="00B8090A">
              <w:rPr>
                <w:rFonts w:cs="Arial"/>
                <w:iCs/>
                <w:color w:val="000000" w:themeColor="text1"/>
                <w:lang w:val="en-US"/>
              </w:rPr>
              <w:t xml:space="preserve"> </w:t>
            </w:r>
          </w:p>
          <w:p w14:paraId="4365E613" w14:textId="77777777" w:rsidR="00B8090A" w:rsidRPr="00B8090A" w:rsidRDefault="00B8090A" w:rsidP="00B8090A">
            <w:pPr>
              <w:rPr>
                <w:rFonts w:cs="Arial"/>
                <w:iCs/>
                <w:color w:val="000000" w:themeColor="text1"/>
                <w:lang w:val="en-US"/>
              </w:rPr>
            </w:pPr>
            <w:r w:rsidRPr="00B8090A">
              <w:rPr>
                <w:rFonts w:cs="Arial"/>
                <w:iCs/>
                <w:color w:val="000000" w:themeColor="text1"/>
                <w:lang w:val="en-US"/>
              </w:rPr>
              <w:t xml:space="preserve">DfE’s </w:t>
            </w:r>
            <w:hyperlink r:id="rId38" w:history="1">
              <w:r w:rsidRPr="00B8090A">
                <w:rPr>
                  <w:rStyle w:val="Hyperlink"/>
                  <w:rFonts w:cs="Arial"/>
                  <w:iCs/>
                  <w:color w:val="000000" w:themeColor="text1"/>
                  <w:lang w:val="en-US"/>
                </w:rPr>
                <w:t>Improving School Attendance</w:t>
              </w:r>
            </w:hyperlink>
            <w:r w:rsidRPr="00B8090A">
              <w:rPr>
                <w:rFonts w:cs="Arial"/>
                <w:iCs/>
                <w:color w:val="000000" w:themeColor="text1"/>
                <w:lang w:val="en-US"/>
              </w:rPr>
              <w:t xml:space="preserve"> advice - (section 4 lessons)</w:t>
            </w:r>
          </w:p>
          <w:p w14:paraId="37383CC5" w14:textId="77777777" w:rsidR="00B8090A" w:rsidRPr="00B8090A" w:rsidRDefault="00B82BA6" w:rsidP="00B8090A">
            <w:pPr>
              <w:rPr>
                <w:rFonts w:cs="Arial"/>
                <w:color w:val="auto"/>
              </w:rPr>
            </w:pPr>
            <w:hyperlink r:id="rId39" w:history="1">
              <w:r w:rsidR="00B8090A" w:rsidRPr="00B8090A">
                <w:rPr>
                  <w:rStyle w:val="Hyperlink"/>
                  <w:rFonts w:cs="Arial"/>
                  <w:color w:val="000000" w:themeColor="text1"/>
                </w:rPr>
                <w:t>Working together to improve school attendance (publishing.service.gov.uk)</w:t>
              </w:r>
            </w:hyperlink>
            <w:r w:rsidR="00B8090A" w:rsidRPr="00B8090A">
              <w:rPr>
                <w:rFonts w:cs="Arial"/>
                <w:color w:val="000000" w:themeColor="text1"/>
              </w:rPr>
              <w:t xml:space="preserve"> </w:t>
            </w:r>
            <w:r w:rsidR="00B8090A" w:rsidRPr="00B8090A">
              <w:rPr>
                <w:rStyle w:val="Hyperlink"/>
                <w:rFonts w:cs="Arial"/>
                <w:color w:val="000000" w:themeColor="text1"/>
                <w:shd w:val="clear" w:color="auto" w:fill="FFFFFF"/>
              </w:rPr>
              <w:t xml:space="preserve"> </w:t>
            </w:r>
            <w:r w:rsidR="00B8090A" w:rsidRPr="00B8090A">
              <w:rPr>
                <w:rFonts w:cs="Arial"/>
                <w:color w:val="000000" w:themeColor="text1"/>
              </w:rPr>
              <w:t>The DfE guidance has been informed by engagement with schools that have significantly reduced persistent absence levels</w:t>
            </w:r>
            <w:r w:rsidR="00B8090A" w:rsidRPr="00B8090A">
              <w:rPr>
                <w:rFonts w:cs="Arial"/>
                <w:color w:val="auto"/>
              </w:rPr>
              <w:t>.</w:t>
            </w:r>
          </w:p>
          <w:p w14:paraId="34F4931A" w14:textId="77777777" w:rsidR="009102CD" w:rsidRDefault="009102CD" w:rsidP="00C31636">
            <w:pPr>
              <w:pStyle w:val="TableRowCentered"/>
              <w:ind w:left="0" w:right="0"/>
              <w:jc w:val="left"/>
              <w:rPr>
                <w:sz w:val="22"/>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C09BD" w14:textId="653B3005" w:rsidR="009102CD" w:rsidRDefault="009A2783" w:rsidP="00C31636">
            <w:pPr>
              <w:pStyle w:val="TableRowCentered"/>
              <w:ind w:left="0" w:right="0"/>
              <w:jc w:val="left"/>
              <w:rPr>
                <w:sz w:val="22"/>
              </w:rPr>
            </w:pPr>
            <w:r>
              <w:rPr>
                <w:sz w:val="22"/>
              </w:rPr>
              <w:t>1, 5, 6</w:t>
            </w:r>
          </w:p>
        </w:tc>
      </w:tr>
      <w:tr w:rsidR="00116C0D" w14:paraId="5BFEF251" w14:textId="77777777" w:rsidTr="00A256ED">
        <w:trPr>
          <w:trHeight w:val="481"/>
        </w:trPr>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C51E7" w14:textId="65839D82" w:rsidR="00116C0D" w:rsidRPr="00116C0D" w:rsidRDefault="00116C0D" w:rsidP="00C31636">
            <w:pPr>
              <w:pStyle w:val="TableRowCentered"/>
              <w:ind w:left="0" w:right="0"/>
              <w:jc w:val="left"/>
              <w:rPr>
                <w:szCs w:val="24"/>
              </w:rPr>
            </w:pPr>
            <w:r w:rsidRPr="00116C0D">
              <w:rPr>
                <w:szCs w:val="24"/>
              </w:rPr>
              <w:t>Extracurricular activities, including sports, outdoor activities, arts, culture and trips</w:t>
            </w:r>
          </w:p>
        </w:tc>
      </w:tr>
      <w:tr w:rsidR="009F5B74" w14:paraId="13861268" w14:textId="77777777" w:rsidTr="00BF6BEE">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FF4C" w14:textId="77777777" w:rsidR="009F5B74" w:rsidRPr="009F5B74" w:rsidRDefault="009F5B74" w:rsidP="009F5B74">
            <w:pPr>
              <w:pStyle w:val="TableRow"/>
              <w:spacing w:before="0"/>
              <w:ind w:left="0"/>
              <w:rPr>
                <w:rFonts w:cs="Arial"/>
                <w:iCs/>
                <w:color w:val="000000" w:themeColor="text1"/>
              </w:rPr>
            </w:pPr>
            <w:r w:rsidRPr="009F5B74">
              <w:rPr>
                <w:rFonts w:cs="Arial"/>
                <w:iCs/>
                <w:color w:val="000000" w:themeColor="text1"/>
              </w:rPr>
              <w:t xml:space="preserve">Enrichment Programme </w:t>
            </w:r>
          </w:p>
          <w:p w14:paraId="2B7DDECD" w14:textId="77777777" w:rsidR="009F5B74" w:rsidRPr="009F5B74" w:rsidRDefault="009F5B74" w:rsidP="009F5B74">
            <w:pPr>
              <w:pStyle w:val="TableRow"/>
              <w:spacing w:before="0"/>
              <w:ind w:left="0"/>
              <w:rPr>
                <w:rFonts w:cs="Arial"/>
                <w:iCs/>
                <w:color w:val="000000" w:themeColor="text1"/>
              </w:rPr>
            </w:pPr>
            <w:r w:rsidRPr="009F5B74">
              <w:rPr>
                <w:rFonts w:cs="Arial"/>
                <w:iCs/>
                <w:color w:val="000000" w:themeColor="text1"/>
              </w:rPr>
              <w:t>(linked to GAA / GAET Charter for Enrichment project).</w:t>
            </w:r>
          </w:p>
          <w:p w14:paraId="16D9304C" w14:textId="77777777" w:rsidR="009F5B74" w:rsidRPr="009F5B74" w:rsidRDefault="009F5B74" w:rsidP="009F5B74">
            <w:pPr>
              <w:pStyle w:val="TableRow"/>
              <w:spacing w:before="0"/>
              <w:ind w:left="0"/>
              <w:rPr>
                <w:rFonts w:cs="Arial"/>
                <w:color w:val="000000" w:themeColor="text1"/>
              </w:rPr>
            </w:pPr>
          </w:p>
          <w:p w14:paraId="251E9493" w14:textId="77777777" w:rsidR="009F5B74" w:rsidRPr="009F5B74" w:rsidRDefault="009F5B74" w:rsidP="009F5B74">
            <w:pPr>
              <w:pStyle w:val="TableRow"/>
              <w:spacing w:before="0"/>
              <w:ind w:left="0"/>
              <w:rPr>
                <w:rFonts w:cs="Arial"/>
                <w:color w:val="000000" w:themeColor="text1"/>
              </w:rPr>
            </w:pPr>
            <w:r w:rsidRPr="009F5B74">
              <w:rPr>
                <w:rFonts w:cs="Arial"/>
                <w:color w:val="000000" w:themeColor="text1"/>
              </w:rPr>
              <w:t>Duke of Edinburgh.</w:t>
            </w:r>
          </w:p>
          <w:p w14:paraId="21369163" w14:textId="77777777" w:rsidR="009F5B74" w:rsidRPr="009F5B74" w:rsidRDefault="009F5B74" w:rsidP="009F5B74">
            <w:pPr>
              <w:pStyle w:val="TableRow"/>
              <w:spacing w:before="0"/>
              <w:ind w:left="0"/>
              <w:rPr>
                <w:rFonts w:cs="Arial"/>
                <w:iCs/>
                <w:color w:val="000000" w:themeColor="text1"/>
              </w:rPr>
            </w:pPr>
          </w:p>
          <w:p w14:paraId="45744F77" w14:textId="77777777" w:rsidR="009F5B74" w:rsidRPr="009F5B74" w:rsidRDefault="009F5B74" w:rsidP="009F5B74">
            <w:pPr>
              <w:pStyle w:val="TableRow"/>
              <w:spacing w:before="0"/>
              <w:ind w:left="0"/>
              <w:rPr>
                <w:rFonts w:cs="Arial"/>
                <w:iCs/>
                <w:color w:val="000000" w:themeColor="text1"/>
              </w:rPr>
            </w:pPr>
            <w:r w:rsidRPr="009F5B74">
              <w:rPr>
                <w:rFonts w:cs="Arial"/>
                <w:iCs/>
                <w:color w:val="000000" w:themeColor="text1"/>
              </w:rPr>
              <w:t xml:space="preserve">Manchester United Foundation- Provides intervention, inspiration and leadership opportunities for those </w:t>
            </w:r>
            <w:r w:rsidRPr="009F5B74">
              <w:rPr>
                <w:rFonts w:cs="Arial"/>
                <w:iCs/>
                <w:color w:val="000000" w:themeColor="text1"/>
              </w:rPr>
              <w:lastRenderedPageBreak/>
              <w:t>involved (A full impact report is available on request).</w:t>
            </w:r>
          </w:p>
          <w:p w14:paraId="1A197388" w14:textId="77777777" w:rsidR="009F5B74" w:rsidRPr="009F5B74" w:rsidRDefault="009F5B74" w:rsidP="009F5B74">
            <w:pPr>
              <w:pStyle w:val="TableRow"/>
              <w:spacing w:before="0"/>
              <w:ind w:left="0"/>
              <w:rPr>
                <w:rFonts w:cs="Arial"/>
                <w:iCs/>
                <w:color w:val="000000" w:themeColor="text1"/>
              </w:rPr>
            </w:pPr>
          </w:p>
          <w:p w14:paraId="5D71E014" w14:textId="77777777" w:rsidR="009F5B74" w:rsidRPr="009F5B74" w:rsidRDefault="009F5B74" w:rsidP="009F5B74">
            <w:pPr>
              <w:pStyle w:val="TableRow"/>
              <w:spacing w:before="0"/>
              <w:rPr>
                <w:rFonts w:cs="Arial"/>
                <w:iCs/>
                <w:color w:val="000000" w:themeColor="text1"/>
              </w:rPr>
            </w:pPr>
          </w:p>
          <w:p w14:paraId="74AE3787" w14:textId="77777777" w:rsidR="009F5B74" w:rsidRPr="009F5B74" w:rsidRDefault="009F5B74" w:rsidP="009F5B74">
            <w:pPr>
              <w:pStyle w:val="TableRow"/>
              <w:spacing w:before="0"/>
              <w:rPr>
                <w:rFonts w:cs="Arial"/>
                <w:iCs/>
                <w:color w:val="000000" w:themeColor="text1"/>
              </w:rPr>
            </w:pPr>
          </w:p>
          <w:p w14:paraId="5A953532" w14:textId="77777777" w:rsidR="009F5B74" w:rsidRPr="009F5B74" w:rsidRDefault="009F5B74" w:rsidP="009F5B74">
            <w:pPr>
              <w:pStyle w:val="TableRow"/>
              <w:spacing w:before="0"/>
              <w:rPr>
                <w:rFonts w:cs="Arial"/>
                <w:iCs/>
                <w:color w:val="000000" w:themeColor="text1"/>
              </w:rPr>
            </w:pPr>
          </w:p>
          <w:p w14:paraId="2926A272" w14:textId="77777777" w:rsidR="009F5B74" w:rsidRPr="009F5B74" w:rsidRDefault="009F5B74" w:rsidP="009F5B74">
            <w:pPr>
              <w:pStyle w:val="TableRow"/>
              <w:spacing w:before="0"/>
              <w:rPr>
                <w:rFonts w:cs="Arial"/>
                <w:iCs/>
                <w:color w:val="000000" w:themeColor="text1"/>
              </w:rPr>
            </w:pPr>
          </w:p>
          <w:p w14:paraId="4A32BCBD" w14:textId="77777777" w:rsidR="009F5B74" w:rsidRPr="009F5B74" w:rsidRDefault="009F5B74" w:rsidP="009F5B74">
            <w:pPr>
              <w:pStyle w:val="TableRow"/>
              <w:spacing w:before="0"/>
              <w:ind w:left="0"/>
              <w:rPr>
                <w:rFonts w:cs="Arial"/>
                <w:iCs/>
                <w:color w:val="000000" w:themeColor="text1"/>
              </w:rPr>
            </w:pPr>
            <w:r w:rsidRPr="009F5B74">
              <w:rPr>
                <w:rFonts w:cs="Arial"/>
                <w:iCs/>
                <w:color w:val="000000" w:themeColor="text1"/>
              </w:rPr>
              <w:t xml:space="preserve">Careers. </w:t>
            </w:r>
          </w:p>
          <w:p w14:paraId="177F89E3" w14:textId="5D1C4D92" w:rsidR="009F5B74" w:rsidRPr="009F5B74" w:rsidRDefault="009F5B74" w:rsidP="009F5B74">
            <w:pPr>
              <w:pStyle w:val="TableRow"/>
              <w:spacing w:before="0"/>
              <w:ind w:left="0"/>
              <w:rPr>
                <w:rFonts w:cs="Arial"/>
                <w:iCs/>
                <w:color w:val="000000" w:themeColor="text1"/>
              </w:rPr>
            </w:pPr>
            <w:r w:rsidRPr="009F5B74">
              <w:rPr>
                <w:rFonts w:cs="Arial"/>
                <w:iCs/>
                <w:color w:val="000000" w:themeColor="text1"/>
              </w:rPr>
              <w:t xml:space="preserve">Ensuring all Gatsby </w:t>
            </w:r>
            <w:r w:rsidR="00724685" w:rsidRPr="009F5B74">
              <w:rPr>
                <w:rFonts w:cs="Arial"/>
                <w:iCs/>
                <w:color w:val="000000" w:themeColor="text1"/>
              </w:rPr>
              <w:t>benchmarks</w:t>
            </w:r>
            <w:r w:rsidRPr="009F5B74">
              <w:rPr>
                <w:rFonts w:cs="Arial"/>
                <w:iCs/>
                <w:color w:val="000000" w:themeColor="text1"/>
              </w:rPr>
              <w:t xml:space="preserve"> are met at 100%.</w:t>
            </w:r>
          </w:p>
          <w:p w14:paraId="12D97A2C" w14:textId="77777777" w:rsidR="009F5B74" w:rsidRPr="009F5B74" w:rsidRDefault="009F5B74" w:rsidP="009F5B74">
            <w:pPr>
              <w:pStyle w:val="TableRow"/>
              <w:spacing w:before="0"/>
              <w:rPr>
                <w:rFonts w:cs="Arial"/>
                <w:iCs/>
                <w:color w:val="000000" w:themeColor="text1"/>
              </w:rPr>
            </w:pPr>
          </w:p>
          <w:p w14:paraId="3C30A002" w14:textId="77777777" w:rsidR="009F5B74" w:rsidRPr="009F5B74" w:rsidRDefault="009F5B74" w:rsidP="009F5B74">
            <w:pPr>
              <w:pStyle w:val="TableRow"/>
              <w:spacing w:before="0"/>
              <w:ind w:left="0"/>
              <w:rPr>
                <w:rFonts w:cs="Arial"/>
                <w:iCs/>
                <w:color w:val="000000" w:themeColor="text1"/>
              </w:rPr>
            </w:pPr>
            <w:r w:rsidRPr="009F5B74">
              <w:rPr>
                <w:rFonts w:cs="Arial"/>
                <w:iCs/>
                <w:color w:val="000000" w:themeColor="text1"/>
              </w:rPr>
              <w:t>Partnership with University of Huddersfield, research project, mapping interventions for NEET young people. Professor Lisa Russell.</w:t>
            </w:r>
          </w:p>
          <w:p w14:paraId="30774525" w14:textId="77777777" w:rsidR="009F5B74" w:rsidRPr="009F5B74" w:rsidRDefault="009F5B74" w:rsidP="009F5B74">
            <w:pPr>
              <w:pStyle w:val="TableRow"/>
              <w:spacing w:before="0"/>
              <w:ind w:left="0"/>
              <w:rPr>
                <w:rFonts w:cs="Arial"/>
                <w:iCs/>
                <w:color w:val="000000" w:themeColor="text1"/>
              </w:rPr>
            </w:pPr>
          </w:p>
          <w:p w14:paraId="6AA45CCD" w14:textId="77777777" w:rsidR="009F5B74" w:rsidRPr="009F5B74" w:rsidRDefault="009F5B74" w:rsidP="009F5B74">
            <w:pPr>
              <w:pStyle w:val="TableRow"/>
              <w:spacing w:before="0"/>
              <w:ind w:left="0"/>
              <w:rPr>
                <w:rFonts w:cs="Arial"/>
                <w:iCs/>
                <w:color w:val="000000" w:themeColor="text1"/>
              </w:rPr>
            </w:pPr>
            <w:r w:rsidRPr="009F5B74">
              <w:rPr>
                <w:rFonts w:cs="Arial"/>
                <w:iCs/>
                <w:color w:val="000000" w:themeColor="text1"/>
              </w:rPr>
              <w:t xml:space="preserve">Careers Champions – pupil champions trained to deliver sessions to peers.                 </w:t>
            </w:r>
          </w:p>
          <w:p w14:paraId="3E8925CD" w14:textId="77777777" w:rsidR="009F5B74" w:rsidRPr="009F5B74" w:rsidRDefault="009F5B74" w:rsidP="009F5B74">
            <w:pPr>
              <w:pStyle w:val="TableRow"/>
              <w:spacing w:before="0"/>
              <w:ind w:left="0"/>
              <w:rPr>
                <w:rFonts w:cs="Arial"/>
                <w:iCs/>
                <w:color w:val="000000" w:themeColor="text1"/>
              </w:rPr>
            </w:pPr>
          </w:p>
          <w:p w14:paraId="2E7BF095" w14:textId="77777777" w:rsidR="009F5B74" w:rsidRPr="009F5B74" w:rsidRDefault="009F5B74" w:rsidP="009F5B74">
            <w:pPr>
              <w:rPr>
                <w:rFonts w:cs="Arial"/>
                <w:iCs/>
                <w:color w:val="000000" w:themeColor="text1"/>
              </w:rPr>
            </w:pPr>
            <w:r w:rsidRPr="009F5B74">
              <w:rPr>
                <w:rFonts w:cs="Arial"/>
                <w:iCs/>
                <w:color w:val="000000" w:themeColor="text1"/>
              </w:rPr>
              <w:t>Young Carers – lead staff member, programme, and support package (case studies available)</w:t>
            </w:r>
          </w:p>
          <w:p w14:paraId="63C94610" w14:textId="77777777" w:rsidR="009F5B74" w:rsidRPr="009F5B74" w:rsidRDefault="009F5B74" w:rsidP="009F5B74">
            <w:pPr>
              <w:pStyle w:val="TableRow"/>
              <w:spacing w:before="0"/>
              <w:ind w:left="0"/>
              <w:rPr>
                <w:rFonts w:cs="Arial"/>
                <w:color w:val="000000" w:themeColor="text1"/>
              </w:rPr>
            </w:pPr>
            <w:r w:rsidRPr="009F5B74">
              <w:rPr>
                <w:rFonts w:cs="Arial"/>
                <w:color w:val="000000" w:themeColor="text1"/>
              </w:rPr>
              <w:t>Educational visits with hardship support.</w:t>
            </w:r>
          </w:p>
          <w:p w14:paraId="3B91CE05" w14:textId="77777777" w:rsidR="009F5B74" w:rsidRPr="009F5B74" w:rsidRDefault="009F5B74" w:rsidP="009F5B74">
            <w:pPr>
              <w:pStyle w:val="TableRow"/>
              <w:spacing w:before="0"/>
              <w:ind w:left="0"/>
              <w:rPr>
                <w:rFonts w:cs="Arial"/>
                <w:color w:val="000000" w:themeColor="text1"/>
              </w:rPr>
            </w:pPr>
          </w:p>
          <w:p w14:paraId="63997978" w14:textId="77777777" w:rsidR="009F5B74" w:rsidRPr="009F5B74" w:rsidRDefault="009F5B74" w:rsidP="009F5B74">
            <w:pPr>
              <w:pStyle w:val="TableRow"/>
              <w:spacing w:before="0"/>
              <w:ind w:left="0"/>
              <w:rPr>
                <w:rFonts w:cs="Arial"/>
                <w:iCs/>
                <w:color w:val="000000" w:themeColor="text1"/>
              </w:rPr>
            </w:pPr>
            <w:r w:rsidRPr="009F5B74">
              <w:rPr>
                <w:rFonts w:cs="Arial"/>
                <w:iCs/>
                <w:color w:val="000000" w:themeColor="text1"/>
              </w:rPr>
              <w:t>GAA subject cultural capital audit.  Evidence base of subject specific and academy wide opportunities.</w:t>
            </w:r>
          </w:p>
          <w:p w14:paraId="11D5E0C4" w14:textId="77777777" w:rsidR="009F5B74" w:rsidRPr="009F5B74" w:rsidRDefault="009F5B74" w:rsidP="009F5B74">
            <w:pPr>
              <w:pStyle w:val="TableRow"/>
              <w:spacing w:before="0"/>
              <w:ind w:left="0"/>
              <w:rPr>
                <w:rFonts w:cs="Arial"/>
                <w:iCs/>
                <w:color w:val="000000" w:themeColor="text1"/>
              </w:rPr>
            </w:pPr>
          </w:p>
          <w:p w14:paraId="551C6F75" w14:textId="77777777" w:rsidR="009F5B74" w:rsidRPr="009F5B74" w:rsidRDefault="009F5B74" w:rsidP="009F5B74">
            <w:pPr>
              <w:pStyle w:val="TableRow"/>
              <w:spacing w:before="0"/>
              <w:ind w:left="0"/>
              <w:rPr>
                <w:rFonts w:cs="Arial"/>
                <w:iCs/>
              </w:rPr>
            </w:pPr>
          </w:p>
          <w:p w14:paraId="3EECB472" w14:textId="77777777" w:rsidR="009F5B74" w:rsidRPr="009F5B74" w:rsidRDefault="009F5B74" w:rsidP="009F5B74">
            <w:pPr>
              <w:pStyle w:val="TableRow"/>
              <w:spacing w:before="0"/>
              <w:ind w:left="0"/>
              <w:rPr>
                <w:rFonts w:cs="Arial"/>
                <w:iCs/>
              </w:rPr>
            </w:pPr>
          </w:p>
          <w:p w14:paraId="19D34432" w14:textId="77777777" w:rsidR="009F5B74" w:rsidRPr="009F5B74" w:rsidRDefault="009F5B74" w:rsidP="009F5B74">
            <w:pPr>
              <w:pStyle w:val="TableRow"/>
              <w:spacing w:before="0"/>
              <w:ind w:left="0"/>
              <w:rPr>
                <w:rFonts w:cs="Arial"/>
                <w:iCs/>
              </w:rPr>
            </w:pPr>
          </w:p>
          <w:p w14:paraId="226F64DF" w14:textId="77777777" w:rsidR="009F5B74" w:rsidRPr="009F5B74" w:rsidRDefault="009F5B74" w:rsidP="009F5B74">
            <w:pPr>
              <w:pStyle w:val="TableRow"/>
              <w:ind w:left="0"/>
              <w:rPr>
                <w:rFonts w:cs="Arial"/>
                <w:iCs/>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0807" w14:textId="77777777" w:rsidR="00647B41" w:rsidRPr="00647B41" w:rsidRDefault="00647B41" w:rsidP="00647B41">
            <w:pPr>
              <w:spacing w:after="0"/>
              <w:rPr>
                <w:rFonts w:cs="Arial"/>
                <w:color w:val="000000" w:themeColor="text1"/>
              </w:rPr>
            </w:pPr>
            <w:r w:rsidRPr="00647B41">
              <w:rPr>
                <w:rFonts w:cs="Arial"/>
                <w:color w:val="000000" w:themeColor="text1"/>
              </w:rPr>
              <w:lastRenderedPageBreak/>
              <w:t>Outdoor adventure learning EEF +4 months.</w:t>
            </w:r>
          </w:p>
          <w:p w14:paraId="3E59BDE6" w14:textId="77777777" w:rsidR="00647B41" w:rsidRPr="00647B41" w:rsidRDefault="00647B41" w:rsidP="00647B41">
            <w:pPr>
              <w:spacing w:after="0"/>
              <w:rPr>
                <w:rFonts w:cs="Arial"/>
                <w:color w:val="000000" w:themeColor="text1"/>
              </w:rPr>
            </w:pPr>
            <w:r w:rsidRPr="00647B41">
              <w:rPr>
                <w:rFonts w:cs="Arial"/>
                <w:color w:val="000000" w:themeColor="text1"/>
              </w:rPr>
              <w:t>Social &amp; emotional learning +4 months.</w:t>
            </w:r>
          </w:p>
          <w:p w14:paraId="13D6F3BA" w14:textId="77777777" w:rsidR="00647B41" w:rsidRPr="00647B41" w:rsidRDefault="00647B41" w:rsidP="00647B41">
            <w:pPr>
              <w:spacing w:after="0"/>
              <w:rPr>
                <w:rFonts w:cs="Arial"/>
                <w:color w:val="000000" w:themeColor="text1"/>
              </w:rPr>
            </w:pPr>
            <w:r w:rsidRPr="00647B41">
              <w:rPr>
                <w:rFonts w:cs="Arial"/>
                <w:color w:val="000000" w:themeColor="text1"/>
              </w:rPr>
              <w:t>Behaviour Intervention EEF + 3 months.</w:t>
            </w:r>
          </w:p>
          <w:p w14:paraId="3850F1E0" w14:textId="77777777" w:rsidR="00647B41" w:rsidRPr="00647B41" w:rsidRDefault="00647B41" w:rsidP="00647B41">
            <w:pPr>
              <w:spacing w:after="0"/>
              <w:rPr>
                <w:rFonts w:cs="Arial"/>
                <w:color w:val="000000" w:themeColor="text1"/>
              </w:rPr>
            </w:pPr>
            <w:r w:rsidRPr="00647B41">
              <w:rPr>
                <w:rFonts w:cs="Arial"/>
                <w:color w:val="000000" w:themeColor="text1"/>
              </w:rPr>
              <w:t>Sports Participation EEF +2 months.</w:t>
            </w:r>
          </w:p>
          <w:p w14:paraId="145BE6E9" w14:textId="77777777" w:rsidR="00647B41" w:rsidRPr="00647B41" w:rsidRDefault="00647B41" w:rsidP="00647B41">
            <w:pPr>
              <w:spacing w:after="0"/>
              <w:rPr>
                <w:rFonts w:cs="Arial"/>
                <w:color w:val="000000" w:themeColor="text1"/>
              </w:rPr>
            </w:pPr>
          </w:p>
          <w:p w14:paraId="24B62587" w14:textId="77777777" w:rsidR="00647B41" w:rsidRPr="00647B41" w:rsidRDefault="00647B41" w:rsidP="00647B41">
            <w:pPr>
              <w:pStyle w:val="TableRowCentered"/>
              <w:ind w:left="0"/>
              <w:jc w:val="left"/>
              <w:rPr>
                <w:rFonts w:cs="Arial"/>
                <w:color w:val="000000" w:themeColor="text1"/>
                <w:szCs w:val="24"/>
              </w:rPr>
            </w:pPr>
            <w:r w:rsidRPr="00647B41">
              <w:rPr>
                <w:rFonts w:cs="Arial"/>
                <w:color w:val="000000" w:themeColor="text1"/>
                <w:szCs w:val="24"/>
              </w:rPr>
              <w:t>Manchester United Foundation provide</w:t>
            </w:r>
            <w:r w:rsidRPr="00647B41">
              <w:rPr>
                <w:rFonts w:cs="Arial"/>
                <w:b/>
                <w:color w:val="000000" w:themeColor="text1"/>
                <w:szCs w:val="24"/>
              </w:rPr>
              <w:t xml:space="preserve"> </w:t>
            </w:r>
            <w:r w:rsidRPr="00647B41">
              <w:rPr>
                <w:rFonts w:cs="Arial"/>
                <w:color w:val="000000" w:themeColor="text1"/>
                <w:szCs w:val="24"/>
              </w:rPr>
              <w:t xml:space="preserve">Social and Emotional Learning (SEL) interventions which seek to improve pupils’ decision-making skills, interaction with others and their self-management of emotions, rather than focusing directly on the academic or cognitive elements of learning. Focusing on SEL can have a moderate impact on learners by 4 months  </w:t>
            </w:r>
            <w:hyperlink r:id="rId40" w:history="1">
              <w:r w:rsidRPr="00647B41">
                <w:rPr>
                  <w:rStyle w:val="Hyperlink"/>
                  <w:rFonts w:cs="Arial"/>
                  <w:color w:val="000000" w:themeColor="text1"/>
                  <w:szCs w:val="24"/>
                </w:rPr>
                <w:t xml:space="preserve">Social and emotional learning | EEF </w:t>
              </w:r>
              <w:r w:rsidRPr="00647B41">
                <w:rPr>
                  <w:rStyle w:val="Hyperlink"/>
                  <w:rFonts w:cs="Arial"/>
                  <w:color w:val="000000" w:themeColor="text1"/>
                  <w:szCs w:val="24"/>
                </w:rPr>
                <w:lastRenderedPageBreak/>
                <w:t>(educationendowmentfoundation.org.uk)</w:t>
              </w:r>
            </w:hyperlink>
            <w:r w:rsidRPr="00647B41">
              <w:rPr>
                <w:rFonts w:cs="Arial"/>
                <w:color w:val="000000" w:themeColor="text1"/>
                <w:szCs w:val="24"/>
              </w:rPr>
              <w:t xml:space="preserve"> and also underlines the commitment to developing the whole child, and improvements are evident in non-academic data too. </w:t>
            </w:r>
          </w:p>
          <w:p w14:paraId="7ACA7E50" w14:textId="77777777" w:rsidR="00647B41" w:rsidRPr="00647B41" w:rsidRDefault="00647B41" w:rsidP="00647B41">
            <w:pPr>
              <w:pStyle w:val="TableRowCentered"/>
              <w:jc w:val="left"/>
              <w:rPr>
                <w:rFonts w:cs="Arial"/>
                <w:color w:val="000000" w:themeColor="text1"/>
                <w:szCs w:val="24"/>
                <w:u w:val="single"/>
              </w:rPr>
            </w:pPr>
          </w:p>
          <w:p w14:paraId="455CADD6" w14:textId="77777777" w:rsidR="00647B41" w:rsidRPr="00647B41" w:rsidRDefault="00B82BA6" w:rsidP="00647B41">
            <w:pPr>
              <w:rPr>
                <w:rFonts w:cs="Arial"/>
                <w:color w:val="000000" w:themeColor="text1"/>
              </w:rPr>
            </w:pPr>
            <w:hyperlink r:id="rId41" w:history="1">
              <w:r w:rsidR="00647B41" w:rsidRPr="00647B41">
                <w:rPr>
                  <w:rStyle w:val="Hyperlink"/>
                  <w:rFonts w:cs="Arial"/>
                  <w:color w:val="000000" w:themeColor="text1"/>
                </w:rPr>
                <w:t>NEET Early Intervention - Dr Lisa Russell - University of Huddersfield</w:t>
              </w:r>
            </w:hyperlink>
          </w:p>
          <w:p w14:paraId="0F85BE71" w14:textId="77777777" w:rsidR="00647B41" w:rsidRPr="00647B41" w:rsidRDefault="00B82BA6" w:rsidP="00647B41">
            <w:pPr>
              <w:rPr>
                <w:rFonts w:cs="Arial"/>
                <w:color w:val="000000" w:themeColor="text1"/>
              </w:rPr>
            </w:pPr>
            <w:hyperlink r:id="rId42" w:history="1">
              <w:r w:rsidR="00647B41" w:rsidRPr="00647B41">
                <w:rPr>
                  <w:rStyle w:val="Hyperlink"/>
                  <w:rFonts w:cs="Arial"/>
                  <w:color w:val="000000" w:themeColor="text1"/>
                </w:rPr>
                <w:t>Approaches to supporting young people not in education, employment or training - a review (nfer.ac.uk)</w:t>
              </w:r>
            </w:hyperlink>
          </w:p>
          <w:p w14:paraId="18E7A468" w14:textId="77777777" w:rsidR="00647B41" w:rsidRPr="00647B41" w:rsidRDefault="00647B41" w:rsidP="00647B41">
            <w:pPr>
              <w:rPr>
                <w:rFonts w:cs="Arial"/>
                <w:color w:val="000000" w:themeColor="text1"/>
              </w:rPr>
            </w:pPr>
          </w:p>
          <w:p w14:paraId="099AFBD5" w14:textId="77777777" w:rsidR="00647B41" w:rsidRPr="00647B41" w:rsidRDefault="00B82BA6" w:rsidP="00647B41">
            <w:pPr>
              <w:rPr>
                <w:rFonts w:cs="Arial"/>
                <w:i/>
                <w:iCs/>
                <w:color w:val="000000" w:themeColor="text1"/>
                <w:shd w:val="clear" w:color="auto" w:fill="FFFFFF"/>
              </w:rPr>
            </w:pPr>
            <w:hyperlink r:id="rId43" w:history="1">
              <w:r w:rsidR="00647B41" w:rsidRPr="00647B41">
                <w:rPr>
                  <w:rStyle w:val="Hyperlink"/>
                  <w:rFonts w:cs="Arial"/>
                  <w:color w:val="000000" w:themeColor="text1"/>
                </w:rPr>
                <w:t>Poorer young people more likely to have career aspirations that… | EEF (educationendowmentfoundation.org.uk)</w:t>
              </w:r>
            </w:hyperlink>
          </w:p>
          <w:p w14:paraId="19BBC9E3" w14:textId="77777777" w:rsidR="00647B41" w:rsidRPr="00647B41" w:rsidRDefault="00647B41" w:rsidP="00647B41">
            <w:pPr>
              <w:rPr>
                <w:rFonts w:cs="Arial"/>
                <w:color w:val="000000" w:themeColor="text1"/>
              </w:rPr>
            </w:pPr>
          </w:p>
          <w:p w14:paraId="543CC315" w14:textId="77777777" w:rsidR="00647B41" w:rsidRPr="00647B41" w:rsidRDefault="00647B41" w:rsidP="00647B41">
            <w:pPr>
              <w:rPr>
                <w:rFonts w:cs="Arial"/>
                <w:color w:val="000000" w:themeColor="text1"/>
              </w:rPr>
            </w:pPr>
            <w:r w:rsidRPr="00647B41">
              <w:rPr>
                <w:rFonts w:cs="Arial"/>
                <w:color w:val="000000" w:themeColor="text1"/>
              </w:rPr>
              <w:t>Sec-ed- using pupil premium to enrich cultural education.</w:t>
            </w:r>
          </w:p>
          <w:p w14:paraId="267D82AD" w14:textId="3A14F09E" w:rsidR="009F5B74" w:rsidRPr="00647B41" w:rsidRDefault="00647B41" w:rsidP="00647B41">
            <w:pPr>
              <w:rPr>
                <w:rFonts w:cs="Arial"/>
              </w:rPr>
            </w:pPr>
            <w:r w:rsidRPr="00647B41">
              <w:rPr>
                <w:rFonts w:cs="Arial"/>
                <w:color w:val="000000" w:themeColor="text1"/>
              </w:rPr>
              <w:t>Alex Quigley research: disadvantaged pupils miss out on experiences which add to their ‘Cultural Capital’ and academic understanding.</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DB26" w14:textId="35E74E2F" w:rsidR="009F5B74" w:rsidRDefault="00095FD6" w:rsidP="009F5B74">
            <w:pPr>
              <w:pStyle w:val="TableRowCentered"/>
              <w:ind w:left="0" w:right="0"/>
              <w:jc w:val="left"/>
              <w:rPr>
                <w:sz w:val="22"/>
              </w:rPr>
            </w:pPr>
            <w:r>
              <w:rPr>
                <w:sz w:val="22"/>
              </w:rPr>
              <w:lastRenderedPageBreak/>
              <w:t>3</w:t>
            </w:r>
            <w:r w:rsidR="00895C47">
              <w:rPr>
                <w:sz w:val="22"/>
              </w:rPr>
              <w:t>, 4</w:t>
            </w:r>
          </w:p>
        </w:tc>
      </w:tr>
      <w:tr w:rsidR="00647B41" w14:paraId="5B3D0557" w14:textId="77777777" w:rsidTr="00261088">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8751" w14:textId="124A400E" w:rsidR="00647B41" w:rsidRPr="00C235D2" w:rsidRDefault="00C235D2" w:rsidP="009F5B74">
            <w:pPr>
              <w:pStyle w:val="TableRowCentered"/>
              <w:ind w:left="0" w:right="0"/>
              <w:jc w:val="left"/>
              <w:rPr>
                <w:szCs w:val="24"/>
              </w:rPr>
            </w:pPr>
            <w:r w:rsidRPr="00C235D2">
              <w:rPr>
                <w:szCs w:val="24"/>
              </w:rPr>
              <w:lastRenderedPageBreak/>
              <w:t>Extended school time, including summer schools</w:t>
            </w:r>
          </w:p>
        </w:tc>
      </w:tr>
      <w:tr w:rsidR="00647B41" w14:paraId="421B7EFC" w14:textId="77777777" w:rsidTr="00BF6BEE">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C09C8" w14:textId="77777777" w:rsidR="00D92E1C" w:rsidRPr="006C4934" w:rsidRDefault="00D92E1C" w:rsidP="00D92E1C">
            <w:pPr>
              <w:pStyle w:val="TableRowCentered"/>
              <w:jc w:val="left"/>
              <w:rPr>
                <w:rFonts w:cs="Arial"/>
                <w:szCs w:val="24"/>
              </w:rPr>
            </w:pPr>
            <w:r w:rsidRPr="006C4934">
              <w:rPr>
                <w:rFonts w:cs="Arial"/>
                <w:szCs w:val="24"/>
              </w:rPr>
              <w:t>Sunset Sessions- Year 11 Intervention programme.</w:t>
            </w:r>
          </w:p>
          <w:p w14:paraId="337A9AD3" w14:textId="77777777" w:rsidR="00647B41" w:rsidRPr="006C4934" w:rsidRDefault="00647B41" w:rsidP="009F5B74">
            <w:pPr>
              <w:pStyle w:val="TableRow"/>
              <w:spacing w:before="0"/>
              <w:ind w:left="0"/>
              <w:rPr>
                <w:rFonts w:cs="Arial"/>
                <w:iCs/>
                <w:color w:val="000000" w:themeColor="text1"/>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908F" w14:textId="77777777" w:rsidR="006C4934" w:rsidRPr="006C4934" w:rsidRDefault="006C4934" w:rsidP="006C4934">
            <w:pPr>
              <w:suppressAutoHyphens w:val="0"/>
              <w:autoSpaceDN/>
              <w:spacing w:before="60" w:after="60" w:line="240" w:lineRule="auto"/>
              <w:ind w:left="57" w:right="57"/>
              <w:rPr>
                <w:rFonts w:cs="Arial"/>
                <w:color w:val="auto"/>
              </w:rPr>
            </w:pPr>
            <w:r w:rsidRPr="006C4934">
              <w:rPr>
                <w:rFonts w:cs="Arial"/>
                <w:color w:val="auto"/>
              </w:rPr>
              <w:t>Tuition targeted at specific needs and knowledge gaps can be an effective method to support low attaining pupils or those falling behind, both one-to-one:</w:t>
            </w:r>
          </w:p>
          <w:p w14:paraId="7D647FBC" w14:textId="77777777" w:rsidR="006C4934" w:rsidRPr="006C4934" w:rsidRDefault="00B82BA6" w:rsidP="006C4934">
            <w:pPr>
              <w:suppressAutoHyphens w:val="0"/>
              <w:autoSpaceDN/>
              <w:spacing w:before="60" w:after="60" w:line="240" w:lineRule="auto"/>
              <w:ind w:left="57" w:right="57"/>
              <w:rPr>
                <w:rFonts w:cs="Arial"/>
                <w:color w:val="000000" w:themeColor="text1"/>
              </w:rPr>
            </w:pPr>
            <w:hyperlink r:id="rId44" w:history="1">
              <w:r w:rsidR="006C4934" w:rsidRPr="006C4934">
                <w:rPr>
                  <w:rFonts w:cs="Arial"/>
                  <w:color w:val="000000" w:themeColor="text1"/>
                  <w:u w:val="single"/>
                </w:rPr>
                <w:t>One to one tuition | EEF (educationendowmentfoundation.org.uk)</w:t>
              </w:r>
            </w:hyperlink>
          </w:p>
          <w:p w14:paraId="13853B92" w14:textId="77777777" w:rsidR="006C4934" w:rsidRPr="006C4934" w:rsidRDefault="006C4934" w:rsidP="006C4934">
            <w:pPr>
              <w:suppressAutoHyphens w:val="0"/>
              <w:autoSpaceDN/>
              <w:spacing w:before="60" w:after="60" w:line="240" w:lineRule="auto"/>
              <w:ind w:left="57" w:right="57"/>
              <w:rPr>
                <w:rFonts w:cs="Arial"/>
                <w:color w:val="000000" w:themeColor="text1"/>
              </w:rPr>
            </w:pPr>
            <w:r w:rsidRPr="006C4934">
              <w:rPr>
                <w:rFonts w:cs="Arial"/>
                <w:color w:val="000000" w:themeColor="text1"/>
              </w:rPr>
              <w:t>And in small groups:</w:t>
            </w:r>
          </w:p>
          <w:p w14:paraId="794B15A5" w14:textId="77777777" w:rsidR="006C4934" w:rsidRPr="006C4934" w:rsidRDefault="00B82BA6" w:rsidP="006C4934">
            <w:pPr>
              <w:pStyle w:val="TableRowCentered"/>
              <w:jc w:val="left"/>
              <w:rPr>
                <w:rFonts w:cs="Arial"/>
                <w:color w:val="000000" w:themeColor="text1"/>
                <w:szCs w:val="24"/>
                <w:u w:val="single"/>
              </w:rPr>
            </w:pPr>
            <w:hyperlink r:id="rId45" w:history="1">
              <w:r w:rsidR="006C4934" w:rsidRPr="006C4934">
                <w:rPr>
                  <w:rFonts w:cs="Arial"/>
                  <w:color w:val="000000" w:themeColor="text1"/>
                  <w:szCs w:val="24"/>
                  <w:u w:val="single"/>
                </w:rPr>
                <w:t>Small group tuition | Toolkit Strand | Education Endowment Foundation | EEF</w:t>
              </w:r>
            </w:hyperlink>
          </w:p>
          <w:p w14:paraId="508A5154" w14:textId="77777777" w:rsidR="006C4934" w:rsidRPr="006C4934" w:rsidRDefault="006C4934" w:rsidP="006C4934">
            <w:pPr>
              <w:pStyle w:val="TableRowCentered"/>
              <w:jc w:val="left"/>
              <w:rPr>
                <w:rFonts w:cs="Arial"/>
                <w:color w:val="000000" w:themeColor="text1"/>
                <w:szCs w:val="24"/>
                <w:u w:val="single"/>
              </w:rPr>
            </w:pPr>
          </w:p>
          <w:p w14:paraId="01925A9C" w14:textId="77777777" w:rsidR="00647B41" w:rsidRPr="006C4934" w:rsidRDefault="00647B41" w:rsidP="00647B41">
            <w:pPr>
              <w:spacing w:after="0"/>
              <w:rPr>
                <w:rFonts w:cs="Arial"/>
                <w:color w:val="000000" w:themeColor="text1"/>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D0DC" w14:textId="3F82C906" w:rsidR="00647B41" w:rsidRPr="006C4934" w:rsidRDefault="006C4934" w:rsidP="009F5B74">
            <w:pPr>
              <w:pStyle w:val="TableRowCentered"/>
              <w:ind w:left="0" w:right="0"/>
              <w:jc w:val="left"/>
              <w:rPr>
                <w:rFonts w:cs="Arial"/>
                <w:szCs w:val="24"/>
              </w:rPr>
            </w:pPr>
            <w:r w:rsidRPr="006C4934">
              <w:rPr>
                <w:rFonts w:cs="Arial"/>
                <w:szCs w:val="24"/>
              </w:rPr>
              <w:t>1</w:t>
            </w:r>
          </w:p>
        </w:tc>
      </w:tr>
      <w:tr w:rsidR="005A0A66" w14:paraId="4EBF21C7" w14:textId="77777777" w:rsidTr="00A12979">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9D87" w14:textId="292BB26E" w:rsidR="005A0A66" w:rsidRPr="006C4934" w:rsidRDefault="005A0A66" w:rsidP="009F5B74">
            <w:pPr>
              <w:pStyle w:val="TableRowCentered"/>
              <w:ind w:left="0" w:right="0"/>
              <w:jc w:val="left"/>
              <w:rPr>
                <w:rFonts w:cs="Arial"/>
                <w:szCs w:val="24"/>
              </w:rPr>
            </w:pPr>
            <w:r w:rsidRPr="005A0A66">
              <w:rPr>
                <w:rFonts w:cs="Arial"/>
                <w:szCs w:val="24"/>
              </w:rPr>
              <w:t>Breakfast clubs and meal provision</w:t>
            </w:r>
          </w:p>
        </w:tc>
      </w:tr>
      <w:tr w:rsidR="006C4934" w14:paraId="2C057EF3" w14:textId="77777777" w:rsidTr="00BF6BEE">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D6166" w14:textId="6D06E546" w:rsidR="006C4934" w:rsidRPr="00E62713" w:rsidRDefault="004E63D7" w:rsidP="00D92E1C">
            <w:pPr>
              <w:pStyle w:val="TableRowCentered"/>
              <w:jc w:val="left"/>
              <w:rPr>
                <w:rFonts w:cs="Arial"/>
                <w:szCs w:val="24"/>
              </w:rPr>
            </w:pPr>
            <w:r w:rsidRPr="00E62713">
              <w:rPr>
                <w:rFonts w:cs="Arial"/>
                <w:iCs/>
                <w:szCs w:val="24"/>
              </w:rPr>
              <w:t>Welfare- pupil sunrise breakfast club.</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E2E5F" w14:textId="42CFCC44" w:rsidR="006C4934" w:rsidRPr="00E62713" w:rsidRDefault="00E62713" w:rsidP="006C4934">
            <w:pPr>
              <w:suppressAutoHyphens w:val="0"/>
              <w:autoSpaceDN/>
              <w:spacing w:before="60" w:after="60" w:line="240" w:lineRule="auto"/>
              <w:ind w:left="57" w:right="57"/>
              <w:rPr>
                <w:rFonts w:cs="Arial"/>
                <w:color w:val="auto"/>
              </w:rPr>
            </w:pPr>
            <w:r w:rsidRPr="00E62713">
              <w:rPr>
                <w:rFonts w:cs="Arial"/>
              </w:rPr>
              <w:t>Social &amp; emotional learning +4 months.</w:t>
            </w:r>
            <w:r w:rsidRPr="00E62713">
              <w:rPr>
                <w:rFonts w:cs="Arial"/>
                <w:color w:val="666666"/>
              </w:rPr>
              <w:t xml:space="preserve"> </w:t>
            </w:r>
            <w:r w:rsidRPr="00E62713">
              <w:rPr>
                <w:rFonts w:cs="Arial"/>
              </w:rPr>
              <w:t>DFE- We know that it is important for pupils to start the day with a nutritious breakfast. Several reports evidence shows that providing a healthy school breakfast at the start of the school day can contribute to improved readiness to learn, increased concentration, and improved wellbeing and behaviour.</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9B59" w14:textId="608A09F1" w:rsidR="006C4934" w:rsidRPr="00E62713" w:rsidRDefault="00E62713" w:rsidP="009F5B74">
            <w:pPr>
              <w:pStyle w:val="TableRowCentered"/>
              <w:ind w:left="0" w:right="0"/>
              <w:jc w:val="left"/>
              <w:rPr>
                <w:rFonts w:cs="Arial"/>
                <w:szCs w:val="24"/>
              </w:rPr>
            </w:pPr>
            <w:r w:rsidRPr="00E62713">
              <w:rPr>
                <w:rFonts w:cs="Arial"/>
                <w:szCs w:val="24"/>
              </w:rPr>
              <w:t>1, 4, 5</w:t>
            </w:r>
          </w:p>
        </w:tc>
      </w:tr>
      <w:tr w:rsidR="00E62713" w14:paraId="53418985" w14:textId="77777777" w:rsidTr="00606D2D">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EC3C" w14:textId="1A68A871" w:rsidR="00E62713" w:rsidRPr="00A35DA7" w:rsidRDefault="004758D2" w:rsidP="009F5B74">
            <w:pPr>
              <w:pStyle w:val="TableRowCentered"/>
              <w:ind w:left="0" w:right="0"/>
              <w:jc w:val="left"/>
              <w:rPr>
                <w:rFonts w:cs="Arial"/>
                <w:szCs w:val="24"/>
              </w:rPr>
            </w:pPr>
            <w:r w:rsidRPr="00A35DA7">
              <w:rPr>
                <w:rFonts w:cs="Arial"/>
                <w:szCs w:val="24"/>
              </w:rPr>
              <w:t>Communicating with and supporting parents</w:t>
            </w:r>
          </w:p>
        </w:tc>
      </w:tr>
      <w:tr w:rsidR="00E62713" w14:paraId="421C6628" w14:textId="77777777" w:rsidTr="00BF6BEE">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7D9EF" w14:textId="6FF99ECE" w:rsidR="00A35DA7" w:rsidRPr="00A35DA7" w:rsidRDefault="00A35DA7" w:rsidP="00A35DA7">
            <w:pPr>
              <w:pStyle w:val="TableRow"/>
              <w:ind w:left="0"/>
              <w:rPr>
                <w:rFonts w:cs="Arial"/>
                <w:iCs/>
              </w:rPr>
            </w:pPr>
            <w:r w:rsidRPr="00A35DA7">
              <w:rPr>
                <w:rFonts w:cs="Arial"/>
                <w:iCs/>
              </w:rPr>
              <w:t>Parental communication and engagement strategy includes:</w:t>
            </w:r>
          </w:p>
          <w:p w14:paraId="04706837" w14:textId="77777777" w:rsidR="00A35DA7" w:rsidRPr="00A35DA7" w:rsidRDefault="00A35DA7" w:rsidP="00A35DA7">
            <w:pPr>
              <w:pStyle w:val="TableRow"/>
              <w:numPr>
                <w:ilvl w:val="0"/>
                <w:numId w:val="32"/>
              </w:numPr>
              <w:rPr>
                <w:rFonts w:cs="Arial"/>
                <w:iCs/>
              </w:rPr>
            </w:pPr>
            <w:r w:rsidRPr="00A35DA7">
              <w:rPr>
                <w:rFonts w:cs="Arial"/>
                <w:iCs/>
              </w:rPr>
              <w:t>Parental weekly written communication.</w:t>
            </w:r>
          </w:p>
          <w:p w14:paraId="675AB6E8" w14:textId="77777777" w:rsidR="00A35DA7" w:rsidRPr="00A35DA7" w:rsidRDefault="00A35DA7" w:rsidP="00A35DA7">
            <w:pPr>
              <w:pStyle w:val="TableRow"/>
              <w:numPr>
                <w:ilvl w:val="0"/>
                <w:numId w:val="32"/>
              </w:numPr>
              <w:rPr>
                <w:rFonts w:cs="Arial"/>
                <w:iCs/>
              </w:rPr>
            </w:pPr>
            <w:r w:rsidRPr="00A35DA7">
              <w:rPr>
                <w:rFonts w:cs="Arial"/>
                <w:iCs/>
              </w:rPr>
              <w:t>Parent evenings.</w:t>
            </w:r>
          </w:p>
          <w:p w14:paraId="1E27D393" w14:textId="77777777" w:rsidR="00A35DA7" w:rsidRPr="00A35DA7" w:rsidRDefault="00A35DA7" w:rsidP="00A35DA7">
            <w:pPr>
              <w:pStyle w:val="TableRow"/>
              <w:numPr>
                <w:ilvl w:val="0"/>
                <w:numId w:val="32"/>
              </w:numPr>
              <w:rPr>
                <w:rFonts w:cs="Arial"/>
                <w:iCs/>
              </w:rPr>
            </w:pPr>
            <w:r w:rsidRPr="00A35DA7">
              <w:rPr>
                <w:rFonts w:cs="Arial"/>
                <w:iCs/>
              </w:rPr>
              <w:t>Focussed year group. parental evenings e.g.  Year 11 lift off evening.</w:t>
            </w:r>
          </w:p>
          <w:p w14:paraId="78EC7A74" w14:textId="77777777" w:rsidR="00A35DA7" w:rsidRPr="00A35DA7" w:rsidRDefault="00A35DA7" w:rsidP="00A35DA7">
            <w:pPr>
              <w:pStyle w:val="TableRow"/>
              <w:numPr>
                <w:ilvl w:val="0"/>
                <w:numId w:val="32"/>
              </w:numPr>
              <w:rPr>
                <w:rFonts w:cs="Arial"/>
                <w:iCs/>
              </w:rPr>
            </w:pPr>
            <w:r w:rsidRPr="00A35DA7">
              <w:rPr>
                <w:rFonts w:cs="Arial"/>
                <w:iCs/>
              </w:rPr>
              <w:t>Primary liaison and admissions.</w:t>
            </w:r>
          </w:p>
          <w:p w14:paraId="23229BFE" w14:textId="3530344F" w:rsidR="00A35DA7" w:rsidRPr="00A35DA7" w:rsidRDefault="00E01D36" w:rsidP="00A35DA7">
            <w:pPr>
              <w:pStyle w:val="TableRow"/>
              <w:numPr>
                <w:ilvl w:val="0"/>
                <w:numId w:val="32"/>
              </w:numPr>
              <w:rPr>
                <w:rFonts w:cs="Arial"/>
                <w:iCs/>
              </w:rPr>
            </w:pPr>
            <w:r w:rsidRPr="00A35DA7">
              <w:rPr>
                <w:rFonts w:cs="Arial"/>
                <w:iCs/>
              </w:rPr>
              <w:t>Targeted</w:t>
            </w:r>
            <w:r w:rsidR="00A35DA7" w:rsidRPr="00A35DA7">
              <w:rPr>
                <w:rFonts w:cs="Arial"/>
                <w:iCs/>
              </w:rPr>
              <w:t xml:space="preserve"> work with </w:t>
            </w:r>
            <w:r w:rsidRPr="00A35DA7">
              <w:rPr>
                <w:rFonts w:cs="Arial"/>
                <w:iCs/>
              </w:rPr>
              <w:t>hard-to-reach</w:t>
            </w:r>
            <w:r w:rsidR="00A35DA7" w:rsidRPr="00A35DA7">
              <w:rPr>
                <w:rFonts w:cs="Arial"/>
                <w:iCs/>
              </w:rPr>
              <w:t xml:space="preserve"> families </w:t>
            </w:r>
            <w:r w:rsidRPr="00A35DA7">
              <w:rPr>
                <w:rFonts w:cs="Arial"/>
                <w:iCs/>
              </w:rPr>
              <w:t>e.g.</w:t>
            </w:r>
            <w:r w:rsidR="00A35DA7" w:rsidRPr="00A35DA7">
              <w:rPr>
                <w:rFonts w:cs="Arial"/>
                <w:iCs/>
              </w:rPr>
              <w:t xml:space="preserve"> attendance work and behaviour work.</w:t>
            </w:r>
          </w:p>
          <w:p w14:paraId="0A52D8F6" w14:textId="77777777" w:rsidR="00E62713" w:rsidRPr="00A35DA7" w:rsidRDefault="00E62713" w:rsidP="00D92E1C">
            <w:pPr>
              <w:pStyle w:val="TableRowCentered"/>
              <w:jc w:val="left"/>
              <w:rPr>
                <w:rFonts w:cs="Arial"/>
                <w:iCs/>
                <w:szCs w:val="24"/>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F8F4A" w14:textId="65626E9C" w:rsidR="00E01D36" w:rsidRPr="00E01D36" w:rsidRDefault="00E01D36" w:rsidP="00E01D36">
            <w:pPr>
              <w:spacing w:after="0"/>
              <w:rPr>
                <w:rFonts w:cs="Arial"/>
              </w:rPr>
            </w:pPr>
            <w:r w:rsidRPr="00E01D36">
              <w:rPr>
                <w:rFonts w:cs="Arial"/>
              </w:rPr>
              <w:t xml:space="preserve">Based on research with local schools both primary and secondary we have identified a need to set aside a proportion of funding to support GAA in improving Parental engagement and avoid widening attainment gaps supported by an awarding body.  </w:t>
            </w:r>
          </w:p>
          <w:p w14:paraId="1228D03E" w14:textId="77777777" w:rsidR="00E01D36" w:rsidRPr="00E01D36" w:rsidRDefault="00E01D36" w:rsidP="00E01D36">
            <w:pPr>
              <w:spacing w:after="0"/>
              <w:rPr>
                <w:rFonts w:cs="Arial"/>
              </w:rPr>
            </w:pPr>
            <w:r w:rsidRPr="00E01D36">
              <w:rPr>
                <w:rFonts w:cs="Arial"/>
              </w:rPr>
              <w:t>EEF +4 Months Progress.</w:t>
            </w:r>
          </w:p>
          <w:p w14:paraId="42C9A381" w14:textId="77777777" w:rsidR="00E01D36" w:rsidRPr="00E01D36" w:rsidRDefault="00B82BA6" w:rsidP="00E01D36">
            <w:pPr>
              <w:rPr>
                <w:rStyle w:val="Hyperlink"/>
                <w:rFonts w:cs="Arial"/>
              </w:rPr>
            </w:pPr>
            <w:hyperlink r:id="rId46" w:history="1">
              <w:r w:rsidR="00E01D36" w:rsidRPr="00E01D36">
                <w:rPr>
                  <w:rStyle w:val="Hyperlink"/>
                  <w:rFonts w:cs="Arial"/>
                </w:rPr>
                <w:t>Tier 3 Communicating with and supporting parents. Pupil Premium- The tiered Model and menu of approaches.</w:t>
              </w:r>
            </w:hyperlink>
          </w:p>
          <w:p w14:paraId="4C92628E" w14:textId="77777777" w:rsidR="00E01D36" w:rsidRPr="00E01D36" w:rsidRDefault="00B82BA6" w:rsidP="00E01D36">
            <w:pPr>
              <w:shd w:val="clear" w:color="auto" w:fill="FFFFFF"/>
              <w:suppressAutoHyphens w:val="0"/>
              <w:autoSpaceDN/>
              <w:spacing w:after="0" w:line="240" w:lineRule="auto"/>
              <w:rPr>
                <w:rFonts w:cs="Arial"/>
                <w:color w:val="242424"/>
              </w:rPr>
            </w:pPr>
            <w:hyperlink r:id="rId47" w:tgtFrame="_blank" w:history="1">
              <w:r w:rsidR="00E01D36" w:rsidRPr="00E01D36">
                <w:rPr>
                  <w:rFonts w:cs="Arial"/>
                  <w:color w:val="0563C1"/>
                  <w:u w:val="single"/>
                  <w:bdr w:val="none" w:sz="0" w:space="0" w:color="auto" w:frame="1"/>
                </w:rPr>
                <w:t>Parental engagement | EEF (educationendowmentfoundation.org.uk)</w:t>
              </w:r>
            </w:hyperlink>
          </w:p>
          <w:p w14:paraId="26DBC17F" w14:textId="424D5F86" w:rsidR="00E01D36" w:rsidRPr="00E01D36" w:rsidRDefault="00E01D36" w:rsidP="00E01D36">
            <w:pPr>
              <w:shd w:val="clear" w:color="auto" w:fill="FFFFFF"/>
              <w:suppressAutoHyphens w:val="0"/>
              <w:autoSpaceDN/>
              <w:spacing w:after="0" w:line="240" w:lineRule="auto"/>
              <w:rPr>
                <w:rFonts w:cs="Arial"/>
                <w:color w:val="242424"/>
              </w:rPr>
            </w:pPr>
            <w:r w:rsidRPr="00E01D36">
              <w:rPr>
                <w:rFonts w:cs="Arial"/>
                <w:color w:val="242424"/>
              </w:rPr>
              <w:t>Tailoring communications to encourage positive dialogue about learning.</w:t>
            </w:r>
          </w:p>
          <w:p w14:paraId="579AEBCB" w14:textId="77777777" w:rsidR="00E01D36" w:rsidRPr="00E01D36" w:rsidRDefault="00E01D36" w:rsidP="00E01D36">
            <w:pPr>
              <w:shd w:val="clear" w:color="auto" w:fill="FFFFFF"/>
              <w:suppressAutoHyphens w:val="0"/>
              <w:autoSpaceDN/>
              <w:spacing w:after="0" w:line="240" w:lineRule="auto"/>
              <w:rPr>
                <w:rFonts w:cs="Arial"/>
                <w:color w:val="242424"/>
              </w:rPr>
            </w:pPr>
            <w:r w:rsidRPr="00E01D36">
              <w:rPr>
                <w:rFonts w:cs="Arial"/>
                <w:color w:val="242424"/>
              </w:rPr>
              <w:t>Regularly reviewing how well the school is working with parents, identifying areas for improvement</w:t>
            </w:r>
          </w:p>
          <w:p w14:paraId="275A0E8A" w14:textId="77777777" w:rsidR="00E62713" w:rsidRPr="00A35DA7" w:rsidRDefault="00E62713" w:rsidP="006C4934">
            <w:pPr>
              <w:suppressAutoHyphens w:val="0"/>
              <w:autoSpaceDN/>
              <w:spacing w:before="60" w:after="60" w:line="240" w:lineRule="auto"/>
              <w:ind w:left="57" w:right="57"/>
              <w:rPr>
                <w:rFonts w:cs="Arial"/>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8E50" w14:textId="1B58C358" w:rsidR="00E62713" w:rsidRPr="00A35DA7" w:rsidRDefault="00E01D36" w:rsidP="009F5B74">
            <w:pPr>
              <w:pStyle w:val="TableRowCentered"/>
              <w:ind w:left="0" w:right="0"/>
              <w:jc w:val="left"/>
              <w:rPr>
                <w:rFonts w:cs="Arial"/>
                <w:szCs w:val="24"/>
              </w:rPr>
            </w:pPr>
            <w:r>
              <w:rPr>
                <w:rFonts w:cs="Arial"/>
                <w:szCs w:val="24"/>
              </w:rPr>
              <w:t>All</w:t>
            </w:r>
          </w:p>
        </w:tc>
      </w:tr>
      <w:tr w:rsidR="00D03B06" w14:paraId="27C9E554" w14:textId="77777777" w:rsidTr="00BF6BEE">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4CC4" w14:textId="77777777" w:rsidR="00D03B06" w:rsidRDefault="00D03B06" w:rsidP="001C07ED">
            <w:pPr>
              <w:pStyle w:val="TableRow"/>
              <w:ind w:left="0"/>
              <w:rPr>
                <w:rFonts w:cs="Arial"/>
                <w:iCs/>
              </w:rPr>
            </w:pPr>
            <w:r w:rsidRPr="00D03B06">
              <w:rPr>
                <w:rFonts w:cs="Arial"/>
                <w:iCs/>
              </w:rPr>
              <w:lastRenderedPageBreak/>
              <w:t>Parental support strategy includes.</w:t>
            </w:r>
          </w:p>
          <w:p w14:paraId="531FB24B" w14:textId="77777777" w:rsidR="001C07ED" w:rsidRPr="00D03B06" w:rsidRDefault="001C07ED" w:rsidP="001C07ED">
            <w:pPr>
              <w:pStyle w:val="TableRow"/>
              <w:ind w:left="0"/>
              <w:rPr>
                <w:rFonts w:cs="Arial"/>
                <w:iCs/>
              </w:rPr>
            </w:pPr>
          </w:p>
          <w:p w14:paraId="3D95E00F" w14:textId="77777777" w:rsidR="00D03B06" w:rsidRPr="00D03B06" w:rsidRDefault="00D03B06" w:rsidP="001C07ED">
            <w:pPr>
              <w:pStyle w:val="TableRow"/>
              <w:ind w:left="0"/>
              <w:rPr>
                <w:rFonts w:cs="Arial"/>
                <w:iCs/>
              </w:rPr>
            </w:pPr>
            <w:r w:rsidRPr="00D03B06">
              <w:rPr>
                <w:rFonts w:cs="Arial"/>
                <w:iCs/>
              </w:rPr>
              <w:t>Co-ordination of charitable support from various charities - Save the Children, Manchester united foundation, Local authority food vouchers.</w:t>
            </w:r>
          </w:p>
          <w:p w14:paraId="731A5163" w14:textId="77777777" w:rsidR="001C07ED" w:rsidRDefault="001C07ED" w:rsidP="00D03B06">
            <w:pPr>
              <w:pStyle w:val="TableRow"/>
              <w:ind w:left="0"/>
              <w:rPr>
                <w:rFonts w:cs="Arial"/>
                <w:iCs/>
              </w:rPr>
            </w:pPr>
          </w:p>
          <w:p w14:paraId="30DD2997" w14:textId="4F330381" w:rsidR="00D03B06" w:rsidRPr="00A35DA7" w:rsidRDefault="00D03B06" w:rsidP="00D03B06">
            <w:pPr>
              <w:pStyle w:val="TableRow"/>
              <w:ind w:left="0"/>
              <w:rPr>
                <w:rFonts w:cs="Arial"/>
                <w:iCs/>
              </w:rPr>
            </w:pPr>
            <w:r w:rsidRPr="00D03B06">
              <w:rPr>
                <w:rFonts w:cs="Arial"/>
                <w:iCs/>
              </w:rPr>
              <w:t>Identified attendance and welfare staff to support hard to reach families directly and through signposting to additional external support.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069B" w14:textId="77777777" w:rsidR="001C07ED" w:rsidRPr="001C07ED" w:rsidRDefault="001C07ED" w:rsidP="001C07ED">
            <w:pPr>
              <w:shd w:val="clear" w:color="auto" w:fill="FFFFFF"/>
              <w:suppressAutoHyphens w:val="0"/>
              <w:spacing w:after="0" w:line="240" w:lineRule="auto"/>
              <w:rPr>
                <w:rFonts w:cs="Arial"/>
                <w:color w:val="242424"/>
              </w:rPr>
            </w:pPr>
            <w:r w:rsidRPr="001C07ED">
              <w:rPr>
                <w:rFonts w:cs="Arial"/>
                <w:color w:val="242424"/>
              </w:rPr>
              <w:t>Offering more sustained and intensive support where needed</w:t>
            </w:r>
          </w:p>
          <w:p w14:paraId="6AFA3974" w14:textId="77777777" w:rsidR="001C07ED" w:rsidRPr="001C07ED" w:rsidRDefault="00B82BA6" w:rsidP="001C07ED">
            <w:pPr>
              <w:spacing w:after="0"/>
              <w:rPr>
                <w:rFonts w:cs="Arial"/>
              </w:rPr>
            </w:pPr>
            <w:hyperlink r:id="rId48" w:history="1">
              <w:r w:rsidR="001C07ED" w:rsidRPr="001C07ED">
                <w:rPr>
                  <w:rStyle w:val="Hyperlink"/>
                  <w:rFonts w:cs="Arial"/>
                </w:rPr>
                <w:t>EEF- How Can Schools Support Parents’ Engagement in their Children’s Learning? Evidence from Research and Practice.</w:t>
              </w:r>
            </w:hyperlink>
            <w:r w:rsidR="001C07ED" w:rsidRPr="001C07ED">
              <w:rPr>
                <w:rFonts w:cs="Arial"/>
              </w:rPr>
              <w:t xml:space="preserve"> </w:t>
            </w:r>
          </w:p>
          <w:p w14:paraId="1C7B0C7B" w14:textId="77777777" w:rsidR="001C07ED" w:rsidRPr="001C07ED" w:rsidRDefault="00B82BA6" w:rsidP="001C07ED">
            <w:pPr>
              <w:spacing w:after="0"/>
              <w:rPr>
                <w:rFonts w:eastAsia="Segoe UI" w:cs="Arial"/>
              </w:rPr>
            </w:pPr>
            <w:hyperlink r:id="rId49" w:history="1">
              <w:r w:rsidR="001C07ED" w:rsidRPr="001C07ED">
                <w:rPr>
                  <w:rStyle w:val="Hyperlink"/>
                  <w:rFonts w:eastAsia="Segoe UI" w:cs="Arial"/>
                </w:rPr>
                <w:t>Effective Teaching of EAL Learners - The Bell Foundation (bell-foundation.org.uk)</w:t>
              </w:r>
            </w:hyperlink>
          </w:p>
          <w:p w14:paraId="379A8F8B" w14:textId="77777777" w:rsidR="001C07ED" w:rsidRPr="001C07ED" w:rsidRDefault="001C07ED" w:rsidP="001C07ED">
            <w:pPr>
              <w:spacing w:after="0"/>
              <w:rPr>
                <w:rFonts w:cs="Arial"/>
              </w:rPr>
            </w:pPr>
            <w:r w:rsidRPr="001C07ED">
              <w:rPr>
                <w:rFonts w:cs="Arial"/>
              </w:rPr>
              <w:t>National research and Local Context-</w:t>
            </w:r>
          </w:p>
          <w:p w14:paraId="3F819E90" w14:textId="77777777" w:rsidR="001C07ED" w:rsidRPr="001C07ED" w:rsidRDefault="001C07ED" w:rsidP="001C07ED">
            <w:pPr>
              <w:pStyle w:val="TableRowCentered"/>
              <w:spacing w:after="0"/>
              <w:ind w:left="0"/>
              <w:jc w:val="both"/>
              <w:rPr>
                <w:rFonts w:cs="Arial"/>
                <w:szCs w:val="24"/>
              </w:rPr>
            </w:pPr>
            <w:r w:rsidRPr="001C07ED">
              <w:rPr>
                <w:rFonts w:cs="Arial"/>
                <w:szCs w:val="24"/>
              </w:rPr>
              <w:t>GAA serves a diverse catchment area and has one of the most deprived areas in Europe.  Areas of deprivation exist deeply within our community, yet do not dip low enough to trigger PP funding, thus increasing the need for social, academic, and economic support from GAA.</w:t>
            </w:r>
          </w:p>
          <w:p w14:paraId="2F914E16" w14:textId="6AACD6B2" w:rsidR="00D03B06" w:rsidRPr="00E01D36" w:rsidRDefault="001C07ED" w:rsidP="001C07ED">
            <w:pPr>
              <w:spacing w:after="0"/>
              <w:rPr>
                <w:rFonts w:cs="Arial"/>
              </w:rPr>
            </w:pPr>
            <w:r w:rsidRPr="001C07ED">
              <w:rPr>
                <w:rFonts w:cs="Arial"/>
                <w:color w:val="auto"/>
              </w:rPr>
              <w:t>Based on our experiences and those of similar schools to ours, we have identified a need to set aside a proportion of funding to respond quickly to needs that have not yet been identified.</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D7FB9" w14:textId="155BE3E3" w:rsidR="00D03B06" w:rsidRDefault="00895C47" w:rsidP="009F5B74">
            <w:pPr>
              <w:pStyle w:val="TableRowCentered"/>
              <w:ind w:left="0" w:right="0"/>
              <w:jc w:val="left"/>
              <w:rPr>
                <w:rFonts w:cs="Arial"/>
                <w:szCs w:val="24"/>
              </w:rPr>
            </w:pPr>
            <w:r>
              <w:rPr>
                <w:rFonts w:cs="Arial"/>
                <w:szCs w:val="24"/>
              </w:rPr>
              <w:t>3</w:t>
            </w:r>
            <w:r w:rsidR="003F3A7E">
              <w:rPr>
                <w:rFonts w:cs="Arial"/>
                <w:szCs w:val="24"/>
              </w:rPr>
              <w:t>, 4, 6</w:t>
            </w:r>
          </w:p>
        </w:tc>
      </w:tr>
      <w:tr w:rsidR="00BF6BEE" w14:paraId="48768B2D" w14:textId="77777777" w:rsidTr="0064490D">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DB6B2" w14:textId="4996DC03" w:rsidR="00BF6BEE" w:rsidRDefault="009E6FA2" w:rsidP="009F5B74">
            <w:pPr>
              <w:pStyle w:val="TableRowCentered"/>
              <w:ind w:left="0" w:right="0"/>
              <w:jc w:val="left"/>
              <w:rPr>
                <w:rFonts w:cs="Arial"/>
                <w:szCs w:val="24"/>
              </w:rPr>
            </w:pPr>
            <w:r w:rsidRPr="009E6FA2">
              <w:rPr>
                <w:rFonts w:cs="Arial"/>
                <w:szCs w:val="24"/>
              </w:rPr>
              <w:t>Pupil Equipment to Ensure Readiness to Learn</w:t>
            </w:r>
          </w:p>
        </w:tc>
      </w:tr>
      <w:tr w:rsidR="00BF6BEE" w14:paraId="2089D16F" w14:textId="77777777" w:rsidTr="00BF6BEE">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4B29" w14:textId="38ED38FE" w:rsidR="00BF6BEE" w:rsidRPr="00A35DA7" w:rsidRDefault="00FC149A" w:rsidP="00A35DA7">
            <w:pPr>
              <w:pStyle w:val="TableRow"/>
              <w:ind w:left="0"/>
              <w:rPr>
                <w:rFonts w:cs="Arial"/>
                <w:iCs/>
              </w:rPr>
            </w:pPr>
            <w:r w:rsidRPr="00FC149A">
              <w:rPr>
                <w:rFonts w:cs="Arial"/>
                <w:iCs/>
              </w:rPr>
              <w:t xml:space="preserve">All pupil premium pupils receive their food preparation and nutrition ingredients, product design materials and art materials.  Removing all “additional contributions” which are traditional in most schools.  </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4E39" w14:textId="78663C40" w:rsidR="00BF6BEE" w:rsidRPr="00E01D36" w:rsidRDefault="00CD3727" w:rsidP="00E01D36">
            <w:pPr>
              <w:spacing w:after="0"/>
              <w:rPr>
                <w:rFonts w:cs="Arial"/>
              </w:rPr>
            </w:pPr>
            <w:r w:rsidRPr="00CD3727">
              <w:rPr>
                <w:rFonts w:cs="Arial"/>
              </w:rPr>
              <w:t>Save the Children and IDACI data available in school related to specific community need by neighbourhood or GAA cohort</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78A84" w14:textId="581E02D9" w:rsidR="00BF6BEE" w:rsidRDefault="00CD3727" w:rsidP="009F5B74">
            <w:pPr>
              <w:pStyle w:val="TableRowCentered"/>
              <w:ind w:left="0" w:right="0"/>
              <w:jc w:val="left"/>
              <w:rPr>
                <w:rFonts w:cs="Arial"/>
                <w:szCs w:val="24"/>
              </w:rPr>
            </w:pPr>
            <w:r>
              <w:rPr>
                <w:rFonts w:cs="Arial"/>
                <w:szCs w:val="24"/>
              </w:rPr>
              <w:t>1, 6</w:t>
            </w:r>
          </w:p>
        </w:tc>
      </w:tr>
      <w:tr w:rsidR="00CD3727" w14:paraId="5DB4A9B2" w14:textId="77777777" w:rsidTr="009C0E29">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AFDF" w14:textId="4A9D3FA8" w:rsidR="00CD3727" w:rsidRDefault="003368F3" w:rsidP="009F5B74">
            <w:pPr>
              <w:pStyle w:val="TableRowCentered"/>
              <w:ind w:left="0" w:right="0"/>
              <w:jc w:val="left"/>
              <w:rPr>
                <w:rFonts w:cs="Arial"/>
                <w:szCs w:val="24"/>
              </w:rPr>
            </w:pPr>
            <w:r w:rsidRPr="003368F3">
              <w:rPr>
                <w:rFonts w:cs="Arial"/>
                <w:szCs w:val="24"/>
              </w:rPr>
              <w:t>Previously LAC (any pupil on roll that are previously LAC)</w:t>
            </w:r>
          </w:p>
        </w:tc>
      </w:tr>
      <w:tr w:rsidR="00CD3727" w14:paraId="009CBC7A" w14:textId="77777777" w:rsidTr="00BF6BEE">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3AAE" w14:textId="05F97B7B" w:rsidR="00CC3965" w:rsidRPr="00F138C4" w:rsidRDefault="00D3481B" w:rsidP="00CC3965">
            <w:pPr>
              <w:pStyle w:val="TableRow"/>
              <w:rPr>
                <w:rFonts w:cs="Arial"/>
                <w:iCs/>
              </w:rPr>
            </w:pPr>
            <w:r>
              <w:rPr>
                <w:rFonts w:cs="Arial"/>
                <w:iCs/>
              </w:rPr>
              <w:t>7</w:t>
            </w:r>
            <w:r w:rsidR="00CC3965" w:rsidRPr="00F138C4">
              <w:rPr>
                <w:rFonts w:cs="Arial"/>
                <w:iCs/>
              </w:rPr>
              <w:t xml:space="preserve"> pupils in total fit into this category at GAA.</w:t>
            </w:r>
          </w:p>
          <w:p w14:paraId="1F2745F7" w14:textId="3BA360BE" w:rsidR="00CD3727" w:rsidRPr="00F138C4" w:rsidRDefault="00CC3965" w:rsidP="00CC3965">
            <w:pPr>
              <w:pStyle w:val="TableRow"/>
              <w:ind w:left="0"/>
              <w:rPr>
                <w:rFonts w:cs="Arial"/>
                <w:iCs/>
              </w:rPr>
            </w:pPr>
            <w:r w:rsidRPr="00F138C4">
              <w:rPr>
                <w:rFonts w:cs="Arial"/>
                <w:iCs/>
              </w:rPr>
              <w:t xml:space="preserve">A range of the wider strategies above are used to support this cohort of pupils according to needs that emerge.  Monitored termly by </w:t>
            </w:r>
            <w:r w:rsidR="00420A03">
              <w:rPr>
                <w:rFonts w:cs="Arial"/>
                <w:iCs/>
              </w:rPr>
              <w:t>Safeguarding Lead.</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CD5A" w14:textId="77777777" w:rsidR="00F138C4" w:rsidRPr="00F138C4" w:rsidRDefault="00B82BA6" w:rsidP="00F138C4">
            <w:pPr>
              <w:rPr>
                <w:rFonts w:cs="Arial"/>
                <w:color w:val="202124"/>
                <w:shd w:val="clear" w:color="auto" w:fill="FFFFFF"/>
              </w:rPr>
            </w:pPr>
            <w:hyperlink r:id="rId50" w:history="1">
              <w:r w:rsidR="00F138C4" w:rsidRPr="00F138C4">
                <w:rPr>
                  <w:rStyle w:val="Hyperlink"/>
                  <w:rFonts w:cs="Arial"/>
                  <w:shd w:val="clear" w:color="auto" w:fill="FFFFFF"/>
                </w:rPr>
                <w:t>Promoting the education of looked- after children and previously looked-after children.</w:t>
              </w:r>
            </w:hyperlink>
          </w:p>
          <w:p w14:paraId="40B3E86D" w14:textId="0ACFF71A" w:rsidR="00CD3727" w:rsidRPr="00F138C4" w:rsidRDefault="00F138C4" w:rsidP="00F138C4">
            <w:pPr>
              <w:spacing w:after="0"/>
              <w:rPr>
                <w:rFonts w:cs="Arial"/>
              </w:rPr>
            </w:pPr>
            <w:r w:rsidRPr="00F138C4">
              <w:rPr>
                <w:rFonts w:cs="Arial"/>
                <w:color w:val="202124"/>
                <w:shd w:val="clear" w:color="auto" w:fill="FFFFFF"/>
              </w:rPr>
              <w:t>The evidence used to support this cohort of pupils is based on a range of strategies from above and no specific single strategy applies to this cohort alone.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87351" w14:textId="74A4A9B3" w:rsidR="00CD3727" w:rsidRDefault="00F138C4" w:rsidP="009F5B74">
            <w:pPr>
              <w:pStyle w:val="TableRowCentered"/>
              <w:ind w:left="0" w:right="0"/>
              <w:jc w:val="left"/>
              <w:rPr>
                <w:rFonts w:cs="Arial"/>
                <w:szCs w:val="24"/>
              </w:rPr>
            </w:pPr>
            <w:r>
              <w:rPr>
                <w:rFonts w:cs="Arial"/>
                <w:szCs w:val="24"/>
              </w:rPr>
              <w:t>All</w:t>
            </w:r>
          </w:p>
        </w:tc>
      </w:tr>
      <w:tr w:rsidR="00F138C4" w14:paraId="3C7EE867" w14:textId="77777777" w:rsidTr="005D4F34">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4E19" w14:textId="0A068E5F" w:rsidR="00F138C4" w:rsidRDefault="00B755D4" w:rsidP="009F5B74">
            <w:pPr>
              <w:pStyle w:val="TableRowCentered"/>
              <w:ind w:left="0" w:right="0"/>
              <w:jc w:val="left"/>
              <w:rPr>
                <w:rFonts w:cs="Arial"/>
                <w:szCs w:val="24"/>
              </w:rPr>
            </w:pPr>
            <w:r w:rsidRPr="00B755D4">
              <w:rPr>
                <w:rFonts w:cs="Arial"/>
                <w:szCs w:val="24"/>
              </w:rPr>
              <w:t>Service PP Pupils</w:t>
            </w:r>
          </w:p>
        </w:tc>
      </w:tr>
      <w:tr w:rsidR="00F138C4" w14:paraId="4C4ED565" w14:textId="77777777" w:rsidTr="00BF6BEE">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B0A04" w14:textId="66145312" w:rsidR="00DE38EC" w:rsidRPr="00DE38EC" w:rsidRDefault="00DD6289" w:rsidP="00DE38EC">
            <w:pPr>
              <w:pStyle w:val="TableRow"/>
              <w:rPr>
                <w:rFonts w:cs="Arial"/>
                <w:iCs/>
              </w:rPr>
            </w:pPr>
            <w:r>
              <w:rPr>
                <w:rFonts w:cs="Arial"/>
                <w:iCs/>
              </w:rPr>
              <w:t>6</w:t>
            </w:r>
            <w:r w:rsidR="00DE38EC" w:rsidRPr="00DE38EC">
              <w:rPr>
                <w:rFonts w:cs="Arial"/>
                <w:iCs/>
              </w:rPr>
              <w:t xml:space="preserve"> pupils in total fit into this category at GAA.</w:t>
            </w:r>
          </w:p>
          <w:p w14:paraId="1CEC2794" w14:textId="77777777" w:rsidR="00DE38EC" w:rsidRPr="00DE38EC" w:rsidRDefault="00DE38EC" w:rsidP="00DE38EC">
            <w:pPr>
              <w:pStyle w:val="TableRow"/>
              <w:rPr>
                <w:rFonts w:cs="Arial"/>
                <w:iCs/>
              </w:rPr>
            </w:pPr>
            <w:r w:rsidRPr="00DE38EC">
              <w:rPr>
                <w:rFonts w:cs="Arial"/>
                <w:iCs/>
              </w:rPr>
              <w:t xml:space="preserve">A range of the wider strategies above are used to support this </w:t>
            </w:r>
            <w:r w:rsidRPr="00DE38EC">
              <w:rPr>
                <w:rFonts w:cs="Arial"/>
                <w:iCs/>
              </w:rPr>
              <w:lastRenderedPageBreak/>
              <w:t>cohort of pupils.  Monitored termly by SLT.</w:t>
            </w:r>
          </w:p>
          <w:p w14:paraId="48F2E015" w14:textId="2AB7105D" w:rsidR="00F138C4" w:rsidRPr="00F138C4" w:rsidRDefault="00DE38EC" w:rsidP="00DE38EC">
            <w:pPr>
              <w:pStyle w:val="TableRow"/>
              <w:rPr>
                <w:rFonts w:cs="Arial"/>
                <w:iCs/>
              </w:rPr>
            </w:pPr>
            <w:r w:rsidRPr="00DE38EC">
              <w:rPr>
                <w:rFonts w:cs="Arial"/>
                <w:iCs/>
              </w:rPr>
              <w:t>Positive promotion of services through DofE course and dedicated member of staff is available to support service pupils, with any issues as and when needed.</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A697E" w14:textId="77777777" w:rsidR="006A22CF" w:rsidRPr="006A22CF" w:rsidRDefault="00B82BA6" w:rsidP="006A22CF">
            <w:pPr>
              <w:rPr>
                <w:rFonts w:cs="Arial"/>
              </w:rPr>
            </w:pPr>
            <w:hyperlink r:id="rId51" w:history="1">
              <w:r w:rsidR="006A22CF" w:rsidRPr="006A22CF">
                <w:rPr>
                  <w:rStyle w:val="Hyperlink"/>
                  <w:rFonts w:cs="Arial"/>
                </w:rPr>
                <w:t>https://www.gov.uk/government/publications/the-service-pupil-premium/service-pupil-premium-examples-of-best-practice</w:t>
              </w:r>
            </w:hyperlink>
            <w:r w:rsidR="006A22CF" w:rsidRPr="006A22CF">
              <w:rPr>
                <w:rFonts w:cs="Arial"/>
              </w:rPr>
              <w:t xml:space="preserve"> </w:t>
            </w:r>
          </w:p>
          <w:p w14:paraId="1B3DBF92" w14:textId="77777777" w:rsidR="006A22CF" w:rsidRPr="006A22CF" w:rsidRDefault="006A22CF" w:rsidP="006A22CF">
            <w:pPr>
              <w:rPr>
                <w:rFonts w:cs="Arial"/>
                <w:color w:val="202124"/>
                <w:shd w:val="clear" w:color="auto" w:fill="FFFFFF"/>
              </w:rPr>
            </w:pPr>
            <w:r w:rsidRPr="006A22CF">
              <w:rPr>
                <w:rFonts w:cs="Arial"/>
                <w:color w:val="202124"/>
                <w:shd w:val="clear" w:color="auto" w:fill="FFFFFF"/>
              </w:rPr>
              <w:lastRenderedPageBreak/>
              <w:t>The evidence used to support this cohort of pupils is based on a range of strategies from above and no specific single strategy applies to this cohort alone.</w:t>
            </w:r>
          </w:p>
          <w:p w14:paraId="288B6C48" w14:textId="77777777" w:rsidR="00F138C4" w:rsidRPr="00F138C4" w:rsidRDefault="00F138C4" w:rsidP="00F138C4">
            <w:pPr>
              <w:rPr>
                <w:rFonts w:cs="Arial"/>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5DA28" w14:textId="202D2942" w:rsidR="00F138C4" w:rsidRDefault="006A22CF" w:rsidP="009F5B74">
            <w:pPr>
              <w:pStyle w:val="TableRowCentered"/>
              <w:ind w:left="0" w:right="0"/>
              <w:jc w:val="left"/>
              <w:rPr>
                <w:rFonts w:cs="Arial"/>
                <w:szCs w:val="24"/>
              </w:rPr>
            </w:pPr>
            <w:r>
              <w:rPr>
                <w:rFonts w:cs="Arial"/>
                <w:szCs w:val="24"/>
              </w:rPr>
              <w:lastRenderedPageBreak/>
              <w:t>All</w:t>
            </w:r>
          </w:p>
        </w:tc>
      </w:tr>
    </w:tbl>
    <w:p w14:paraId="2A7D5540" w14:textId="77777777" w:rsidR="00E66558" w:rsidRDefault="00E66558">
      <w:pPr>
        <w:spacing w:before="240" w:after="0"/>
        <w:rPr>
          <w:b/>
          <w:bCs/>
          <w:color w:val="104F75"/>
          <w:sz w:val="28"/>
          <w:szCs w:val="28"/>
        </w:rPr>
      </w:pPr>
    </w:p>
    <w:p w14:paraId="2A7D5541" w14:textId="1C863B94" w:rsidR="00E66558" w:rsidRDefault="009D71E8" w:rsidP="00120AB1">
      <w:r>
        <w:rPr>
          <w:b/>
          <w:bCs/>
          <w:color w:val="104F75"/>
          <w:sz w:val="28"/>
          <w:szCs w:val="28"/>
        </w:rPr>
        <w:t>Total budgeted cost: £</w:t>
      </w:r>
      <w:r w:rsidR="003E6C4C">
        <w:rPr>
          <w:b/>
          <w:bCs/>
          <w:color w:val="104F75"/>
          <w:sz w:val="28"/>
          <w:szCs w:val="28"/>
        </w:rPr>
        <w:t>860,500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A149D" w14:textId="77777777" w:rsidR="001A7034" w:rsidRDefault="001A7034" w:rsidP="007A3629">
            <w:pPr>
              <w:rPr>
                <w:i/>
                <w:iCs/>
                <w:color w:val="000000"/>
              </w:rPr>
            </w:pPr>
          </w:p>
          <w:tbl>
            <w:tblPr>
              <w:tblStyle w:val="TableGrid"/>
              <w:tblW w:w="0" w:type="auto"/>
              <w:tblLook w:val="04A0" w:firstRow="1" w:lastRow="0" w:firstColumn="1" w:lastColumn="0" w:noHBand="0" w:noVBand="1"/>
            </w:tblPr>
            <w:tblGrid>
              <w:gridCol w:w="1569"/>
              <w:gridCol w:w="1237"/>
              <w:gridCol w:w="1250"/>
              <w:gridCol w:w="1130"/>
              <w:gridCol w:w="1472"/>
              <w:gridCol w:w="1275"/>
              <w:gridCol w:w="1083"/>
            </w:tblGrid>
            <w:tr w:rsidR="009E3E6F" w14:paraId="2D303A13" w14:textId="77777777" w:rsidTr="001F1FCF">
              <w:tc>
                <w:tcPr>
                  <w:tcW w:w="1569" w:type="dxa"/>
                  <w:tcBorders>
                    <w:top w:val="single" w:sz="4" w:space="0" w:color="auto"/>
                    <w:left w:val="single" w:sz="4" w:space="0" w:color="auto"/>
                    <w:bottom w:val="single" w:sz="4" w:space="0" w:color="auto"/>
                    <w:right w:val="single" w:sz="4" w:space="0" w:color="auto"/>
                  </w:tcBorders>
                </w:tcPr>
                <w:p w14:paraId="69DD9935" w14:textId="77777777" w:rsidR="009E3E6F" w:rsidRPr="00BF25F2" w:rsidRDefault="009E3E6F" w:rsidP="009E3E6F">
                  <w:pPr>
                    <w:spacing w:after="0"/>
                    <w:rPr>
                      <w:rFonts w:cs="Arial"/>
                      <w:lang w:eastAsia="en-US"/>
                    </w:rPr>
                  </w:pPr>
                </w:p>
              </w:tc>
              <w:tc>
                <w:tcPr>
                  <w:tcW w:w="3617" w:type="dxa"/>
                  <w:gridSpan w:val="3"/>
                  <w:tcBorders>
                    <w:top w:val="single" w:sz="4" w:space="0" w:color="auto"/>
                    <w:left w:val="single" w:sz="4" w:space="0" w:color="auto"/>
                    <w:bottom w:val="single" w:sz="4" w:space="0" w:color="auto"/>
                    <w:right w:val="single" w:sz="4" w:space="0" w:color="auto"/>
                  </w:tcBorders>
                </w:tcPr>
                <w:p w14:paraId="754B84F4" w14:textId="77777777" w:rsidR="009E3E6F" w:rsidRDefault="009E3E6F" w:rsidP="009E3E6F">
                  <w:pPr>
                    <w:spacing w:after="0"/>
                    <w:jc w:val="center"/>
                    <w:rPr>
                      <w:rFonts w:cs="Arial"/>
                      <w:lang w:eastAsia="en-US"/>
                    </w:rPr>
                  </w:pPr>
                  <w:r>
                    <w:rPr>
                      <w:rFonts w:cs="Arial"/>
                      <w:lang w:eastAsia="en-US"/>
                    </w:rPr>
                    <w:t>2022-2023</w:t>
                  </w:r>
                </w:p>
              </w:tc>
              <w:tc>
                <w:tcPr>
                  <w:tcW w:w="3830" w:type="dxa"/>
                  <w:gridSpan w:val="3"/>
                  <w:tcBorders>
                    <w:top w:val="single" w:sz="4" w:space="0" w:color="auto"/>
                    <w:left w:val="single" w:sz="4" w:space="0" w:color="auto"/>
                    <w:bottom w:val="single" w:sz="4" w:space="0" w:color="auto"/>
                    <w:right w:val="single" w:sz="4" w:space="0" w:color="auto"/>
                  </w:tcBorders>
                </w:tcPr>
                <w:p w14:paraId="6D388AC3" w14:textId="77777777" w:rsidR="009E3E6F" w:rsidRDefault="009E3E6F" w:rsidP="009E3E6F">
                  <w:pPr>
                    <w:spacing w:after="0"/>
                    <w:jc w:val="center"/>
                    <w:rPr>
                      <w:rFonts w:cs="Arial"/>
                      <w:lang w:eastAsia="en-US"/>
                    </w:rPr>
                  </w:pPr>
                  <w:r>
                    <w:rPr>
                      <w:rFonts w:cs="Arial"/>
                      <w:lang w:eastAsia="en-US"/>
                    </w:rPr>
                    <w:t>2023-2024</w:t>
                  </w:r>
                </w:p>
              </w:tc>
            </w:tr>
            <w:tr w:rsidR="009E3E6F" w14:paraId="6CA49971" w14:textId="77777777" w:rsidTr="001F1FCF">
              <w:tc>
                <w:tcPr>
                  <w:tcW w:w="1569" w:type="dxa"/>
                  <w:tcBorders>
                    <w:top w:val="single" w:sz="4" w:space="0" w:color="auto"/>
                    <w:left w:val="single" w:sz="4" w:space="0" w:color="auto"/>
                    <w:bottom w:val="single" w:sz="4" w:space="0" w:color="auto"/>
                    <w:right w:val="single" w:sz="4" w:space="0" w:color="auto"/>
                  </w:tcBorders>
                  <w:hideMark/>
                </w:tcPr>
                <w:p w14:paraId="2E30BFA6" w14:textId="77777777" w:rsidR="009E3E6F" w:rsidRPr="00BF25F2" w:rsidRDefault="009E3E6F" w:rsidP="009E3E6F">
                  <w:pPr>
                    <w:spacing w:after="0"/>
                    <w:rPr>
                      <w:rFonts w:cs="Arial"/>
                      <w:lang w:eastAsia="en-US"/>
                    </w:rPr>
                  </w:pPr>
                  <w:r w:rsidRPr="00BF25F2">
                    <w:rPr>
                      <w:rFonts w:cs="Arial"/>
                      <w:lang w:eastAsia="en-US"/>
                    </w:rPr>
                    <w:t xml:space="preserve">Measure </w:t>
                  </w:r>
                </w:p>
              </w:tc>
              <w:tc>
                <w:tcPr>
                  <w:tcW w:w="1237" w:type="dxa"/>
                  <w:tcBorders>
                    <w:top w:val="single" w:sz="4" w:space="0" w:color="auto"/>
                    <w:left w:val="single" w:sz="4" w:space="0" w:color="auto"/>
                    <w:bottom w:val="single" w:sz="4" w:space="0" w:color="auto"/>
                    <w:right w:val="single" w:sz="4" w:space="0" w:color="auto"/>
                  </w:tcBorders>
                  <w:hideMark/>
                </w:tcPr>
                <w:p w14:paraId="1F35077E" w14:textId="77777777" w:rsidR="009E3E6F" w:rsidRPr="00BF25F2" w:rsidRDefault="009E3E6F" w:rsidP="009E3E6F">
                  <w:pPr>
                    <w:spacing w:after="0"/>
                    <w:rPr>
                      <w:rFonts w:cs="Arial"/>
                      <w:lang w:eastAsia="en-US"/>
                    </w:rPr>
                  </w:pPr>
                  <w:r w:rsidRPr="00BF25F2">
                    <w:rPr>
                      <w:rFonts w:cs="Arial"/>
                      <w:lang w:eastAsia="en-US"/>
                    </w:rPr>
                    <w:t xml:space="preserve">Non-pupil premium </w:t>
                  </w:r>
                </w:p>
              </w:tc>
              <w:tc>
                <w:tcPr>
                  <w:tcW w:w="1250" w:type="dxa"/>
                  <w:tcBorders>
                    <w:top w:val="single" w:sz="4" w:space="0" w:color="auto"/>
                    <w:left w:val="single" w:sz="4" w:space="0" w:color="auto"/>
                    <w:bottom w:val="single" w:sz="4" w:space="0" w:color="auto"/>
                    <w:right w:val="single" w:sz="4" w:space="0" w:color="auto"/>
                  </w:tcBorders>
                  <w:hideMark/>
                </w:tcPr>
                <w:p w14:paraId="506D2B7D" w14:textId="77777777" w:rsidR="009E3E6F" w:rsidRPr="00BF25F2" w:rsidRDefault="009E3E6F" w:rsidP="009E3E6F">
                  <w:pPr>
                    <w:spacing w:after="0"/>
                    <w:rPr>
                      <w:rFonts w:cs="Arial"/>
                      <w:lang w:eastAsia="en-US"/>
                    </w:rPr>
                  </w:pPr>
                  <w:r w:rsidRPr="00BF25F2">
                    <w:rPr>
                      <w:rFonts w:cs="Arial"/>
                      <w:lang w:eastAsia="en-US"/>
                    </w:rPr>
                    <w:t xml:space="preserve">Pupil premium </w:t>
                  </w:r>
                </w:p>
              </w:tc>
              <w:tc>
                <w:tcPr>
                  <w:tcW w:w="1130" w:type="dxa"/>
                  <w:tcBorders>
                    <w:top w:val="single" w:sz="4" w:space="0" w:color="auto"/>
                    <w:left w:val="single" w:sz="4" w:space="0" w:color="auto"/>
                    <w:bottom w:val="single" w:sz="4" w:space="0" w:color="auto"/>
                    <w:right w:val="single" w:sz="4" w:space="0" w:color="auto"/>
                  </w:tcBorders>
                </w:tcPr>
                <w:p w14:paraId="072A3587" w14:textId="77777777" w:rsidR="009E3E6F" w:rsidRPr="00BF25F2" w:rsidRDefault="009E3E6F" w:rsidP="009E3E6F">
                  <w:pPr>
                    <w:spacing w:after="0"/>
                    <w:rPr>
                      <w:rFonts w:cs="Arial"/>
                      <w:lang w:eastAsia="en-US"/>
                    </w:rPr>
                  </w:pPr>
                  <w:r>
                    <w:rPr>
                      <w:rFonts w:cs="Arial"/>
                      <w:lang w:eastAsia="en-US"/>
                    </w:rPr>
                    <w:t>GAP</w:t>
                  </w:r>
                </w:p>
              </w:tc>
              <w:tc>
                <w:tcPr>
                  <w:tcW w:w="1472" w:type="dxa"/>
                  <w:tcBorders>
                    <w:top w:val="single" w:sz="4" w:space="0" w:color="auto"/>
                    <w:left w:val="single" w:sz="4" w:space="0" w:color="auto"/>
                    <w:bottom w:val="single" w:sz="4" w:space="0" w:color="auto"/>
                    <w:right w:val="single" w:sz="4" w:space="0" w:color="auto"/>
                  </w:tcBorders>
                </w:tcPr>
                <w:p w14:paraId="79542AB8" w14:textId="77777777" w:rsidR="009E3E6F" w:rsidRPr="00BF25F2" w:rsidRDefault="009E3E6F" w:rsidP="009E3E6F">
                  <w:pPr>
                    <w:spacing w:after="0"/>
                    <w:rPr>
                      <w:rFonts w:cs="Arial"/>
                      <w:lang w:eastAsia="en-US"/>
                    </w:rPr>
                  </w:pPr>
                  <w:r w:rsidRPr="00BF25F2">
                    <w:rPr>
                      <w:rFonts w:cs="Arial"/>
                      <w:lang w:eastAsia="en-US"/>
                    </w:rPr>
                    <w:t>Non-pupil premium</w:t>
                  </w:r>
                </w:p>
              </w:tc>
              <w:tc>
                <w:tcPr>
                  <w:tcW w:w="1275" w:type="dxa"/>
                  <w:tcBorders>
                    <w:top w:val="single" w:sz="4" w:space="0" w:color="auto"/>
                    <w:left w:val="single" w:sz="4" w:space="0" w:color="auto"/>
                    <w:bottom w:val="single" w:sz="4" w:space="0" w:color="auto"/>
                    <w:right w:val="single" w:sz="4" w:space="0" w:color="auto"/>
                  </w:tcBorders>
                </w:tcPr>
                <w:p w14:paraId="2CF7DB44" w14:textId="77777777" w:rsidR="009E3E6F" w:rsidRPr="00BF25F2" w:rsidRDefault="009E3E6F" w:rsidP="009E3E6F">
                  <w:pPr>
                    <w:spacing w:after="0"/>
                    <w:rPr>
                      <w:rFonts w:cs="Arial"/>
                      <w:lang w:eastAsia="en-US"/>
                    </w:rPr>
                  </w:pPr>
                  <w:r w:rsidRPr="00BF25F2">
                    <w:rPr>
                      <w:rFonts w:cs="Arial"/>
                      <w:lang w:eastAsia="en-US"/>
                    </w:rPr>
                    <w:t xml:space="preserve">Pupil premium </w:t>
                  </w:r>
                </w:p>
                <w:p w14:paraId="3BA39473" w14:textId="77777777" w:rsidR="009E3E6F" w:rsidRPr="00BF25F2" w:rsidRDefault="009E3E6F" w:rsidP="009E3E6F">
                  <w:pPr>
                    <w:spacing w:after="0"/>
                    <w:rPr>
                      <w:rFonts w:cs="Arial"/>
                      <w:lang w:eastAsia="en-US"/>
                    </w:rPr>
                  </w:pPr>
                </w:p>
              </w:tc>
              <w:tc>
                <w:tcPr>
                  <w:tcW w:w="1083" w:type="dxa"/>
                  <w:tcBorders>
                    <w:top w:val="single" w:sz="4" w:space="0" w:color="auto"/>
                    <w:left w:val="single" w:sz="4" w:space="0" w:color="auto"/>
                    <w:bottom w:val="single" w:sz="4" w:space="0" w:color="auto"/>
                    <w:right w:val="single" w:sz="4" w:space="0" w:color="auto"/>
                  </w:tcBorders>
                </w:tcPr>
                <w:p w14:paraId="0D82C3F7" w14:textId="77777777" w:rsidR="009E3E6F" w:rsidRPr="00BF25F2" w:rsidRDefault="009E3E6F" w:rsidP="009E3E6F">
                  <w:pPr>
                    <w:spacing w:after="0"/>
                    <w:rPr>
                      <w:rFonts w:cs="Arial"/>
                      <w:lang w:eastAsia="en-US"/>
                    </w:rPr>
                  </w:pPr>
                  <w:r>
                    <w:rPr>
                      <w:rFonts w:cs="Arial"/>
                      <w:lang w:eastAsia="en-US"/>
                    </w:rPr>
                    <w:t>GAP</w:t>
                  </w:r>
                </w:p>
              </w:tc>
            </w:tr>
            <w:tr w:rsidR="009E3E6F" w14:paraId="318148E3" w14:textId="77777777" w:rsidTr="001F1FCF">
              <w:tc>
                <w:tcPr>
                  <w:tcW w:w="1569" w:type="dxa"/>
                  <w:tcBorders>
                    <w:top w:val="single" w:sz="4" w:space="0" w:color="auto"/>
                    <w:left w:val="single" w:sz="4" w:space="0" w:color="auto"/>
                    <w:bottom w:val="single" w:sz="4" w:space="0" w:color="auto"/>
                    <w:right w:val="single" w:sz="4" w:space="0" w:color="auto"/>
                  </w:tcBorders>
                  <w:hideMark/>
                </w:tcPr>
                <w:p w14:paraId="019F8588" w14:textId="77777777" w:rsidR="009E3E6F" w:rsidRPr="00BF25F2" w:rsidRDefault="009E3E6F" w:rsidP="009E3E6F">
                  <w:pPr>
                    <w:spacing w:after="0"/>
                    <w:rPr>
                      <w:rFonts w:cs="Arial"/>
                      <w:lang w:eastAsia="en-US"/>
                    </w:rPr>
                  </w:pPr>
                  <w:r w:rsidRPr="00BF25F2">
                    <w:rPr>
                      <w:rFonts w:cs="Arial"/>
                      <w:lang w:eastAsia="en-US"/>
                    </w:rPr>
                    <w:t>Overall A8</w:t>
                  </w:r>
                </w:p>
              </w:tc>
              <w:tc>
                <w:tcPr>
                  <w:tcW w:w="1237" w:type="dxa"/>
                  <w:tcBorders>
                    <w:top w:val="single" w:sz="4" w:space="0" w:color="auto"/>
                    <w:left w:val="single" w:sz="4" w:space="0" w:color="auto"/>
                    <w:bottom w:val="single" w:sz="4" w:space="0" w:color="auto"/>
                    <w:right w:val="single" w:sz="4" w:space="0" w:color="auto"/>
                  </w:tcBorders>
                  <w:hideMark/>
                </w:tcPr>
                <w:p w14:paraId="5FD26116" w14:textId="77777777" w:rsidR="009E3E6F" w:rsidRPr="00BF25F2" w:rsidRDefault="009E3E6F" w:rsidP="009E3E6F">
                  <w:pPr>
                    <w:spacing w:after="0"/>
                    <w:rPr>
                      <w:rFonts w:cs="Arial"/>
                      <w:lang w:eastAsia="en-US"/>
                    </w:rPr>
                  </w:pPr>
                  <w:r>
                    <w:rPr>
                      <w:rFonts w:cs="Arial"/>
                      <w:lang w:eastAsia="en-US"/>
                    </w:rPr>
                    <w:t>40.6</w:t>
                  </w:r>
                </w:p>
              </w:tc>
              <w:tc>
                <w:tcPr>
                  <w:tcW w:w="1250" w:type="dxa"/>
                  <w:tcBorders>
                    <w:top w:val="single" w:sz="4" w:space="0" w:color="auto"/>
                    <w:left w:val="single" w:sz="4" w:space="0" w:color="auto"/>
                    <w:bottom w:val="single" w:sz="4" w:space="0" w:color="auto"/>
                    <w:right w:val="single" w:sz="4" w:space="0" w:color="auto"/>
                  </w:tcBorders>
                  <w:hideMark/>
                </w:tcPr>
                <w:p w14:paraId="24E3690E" w14:textId="77777777" w:rsidR="009E3E6F" w:rsidRPr="00BF25F2" w:rsidRDefault="009E3E6F" w:rsidP="009E3E6F">
                  <w:pPr>
                    <w:spacing w:after="0"/>
                    <w:rPr>
                      <w:rFonts w:cs="Arial"/>
                      <w:lang w:eastAsia="en-US"/>
                    </w:rPr>
                  </w:pPr>
                  <w:r w:rsidRPr="00BF25F2">
                    <w:rPr>
                      <w:rFonts w:cs="Arial"/>
                      <w:lang w:eastAsia="en-US"/>
                    </w:rPr>
                    <w:t>2</w:t>
                  </w:r>
                  <w:r>
                    <w:rPr>
                      <w:rFonts w:cs="Arial"/>
                      <w:lang w:eastAsia="en-US"/>
                    </w:rPr>
                    <w:t>9.1</w:t>
                  </w:r>
                </w:p>
              </w:tc>
              <w:tc>
                <w:tcPr>
                  <w:tcW w:w="1130" w:type="dxa"/>
                  <w:tcBorders>
                    <w:top w:val="single" w:sz="4" w:space="0" w:color="auto"/>
                    <w:left w:val="single" w:sz="4" w:space="0" w:color="auto"/>
                    <w:bottom w:val="single" w:sz="4" w:space="0" w:color="auto"/>
                    <w:right w:val="single" w:sz="4" w:space="0" w:color="auto"/>
                  </w:tcBorders>
                </w:tcPr>
                <w:p w14:paraId="4341F7C8" w14:textId="77777777" w:rsidR="009E3E6F" w:rsidRDefault="009E3E6F" w:rsidP="009E3E6F">
                  <w:pPr>
                    <w:spacing w:after="0"/>
                    <w:rPr>
                      <w:rFonts w:cs="Arial"/>
                      <w:lang w:eastAsia="en-US"/>
                    </w:rPr>
                  </w:pPr>
                  <w:r>
                    <w:rPr>
                      <w:rFonts w:cs="Arial"/>
                      <w:lang w:eastAsia="en-US"/>
                    </w:rPr>
                    <w:t>11.5</w:t>
                  </w:r>
                </w:p>
              </w:tc>
              <w:tc>
                <w:tcPr>
                  <w:tcW w:w="1472" w:type="dxa"/>
                  <w:tcBorders>
                    <w:top w:val="single" w:sz="4" w:space="0" w:color="auto"/>
                    <w:left w:val="single" w:sz="4" w:space="0" w:color="auto"/>
                    <w:bottom w:val="single" w:sz="4" w:space="0" w:color="auto"/>
                    <w:right w:val="single" w:sz="4" w:space="0" w:color="auto"/>
                  </w:tcBorders>
                </w:tcPr>
                <w:p w14:paraId="54CB8840" w14:textId="77777777" w:rsidR="009E3E6F" w:rsidRPr="00BF25F2" w:rsidRDefault="009E3E6F" w:rsidP="009E3E6F">
                  <w:pPr>
                    <w:spacing w:after="0"/>
                    <w:rPr>
                      <w:rFonts w:cs="Arial"/>
                      <w:lang w:eastAsia="en-US"/>
                    </w:rPr>
                  </w:pPr>
                  <w:r>
                    <w:rPr>
                      <w:rFonts w:cs="Arial"/>
                      <w:lang w:eastAsia="en-US"/>
                    </w:rPr>
                    <w:t>40.1</w:t>
                  </w:r>
                </w:p>
              </w:tc>
              <w:tc>
                <w:tcPr>
                  <w:tcW w:w="1275" w:type="dxa"/>
                  <w:tcBorders>
                    <w:top w:val="single" w:sz="4" w:space="0" w:color="auto"/>
                    <w:left w:val="single" w:sz="4" w:space="0" w:color="auto"/>
                    <w:bottom w:val="single" w:sz="4" w:space="0" w:color="auto"/>
                    <w:right w:val="single" w:sz="4" w:space="0" w:color="auto"/>
                  </w:tcBorders>
                </w:tcPr>
                <w:p w14:paraId="1F36DBDD" w14:textId="77777777" w:rsidR="009E3E6F" w:rsidRPr="00BF25F2" w:rsidRDefault="009E3E6F" w:rsidP="009E3E6F">
                  <w:pPr>
                    <w:spacing w:after="0"/>
                    <w:rPr>
                      <w:rFonts w:cs="Arial"/>
                      <w:lang w:eastAsia="en-US"/>
                    </w:rPr>
                  </w:pPr>
                  <w:r w:rsidRPr="00BF25F2">
                    <w:rPr>
                      <w:rFonts w:cs="Arial"/>
                      <w:lang w:eastAsia="en-US"/>
                    </w:rPr>
                    <w:t>31.</w:t>
                  </w:r>
                  <w:r>
                    <w:rPr>
                      <w:rFonts w:cs="Arial"/>
                      <w:lang w:eastAsia="en-US"/>
                    </w:rPr>
                    <w:t>3</w:t>
                  </w:r>
                </w:p>
              </w:tc>
              <w:tc>
                <w:tcPr>
                  <w:tcW w:w="1083" w:type="dxa"/>
                  <w:tcBorders>
                    <w:top w:val="single" w:sz="4" w:space="0" w:color="auto"/>
                    <w:left w:val="single" w:sz="4" w:space="0" w:color="auto"/>
                    <w:bottom w:val="single" w:sz="4" w:space="0" w:color="auto"/>
                    <w:right w:val="single" w:sz="4" w:space="0" w:color="auto"/>
                  </w:tcBorders>
                </w:tcPr>
                <w:p w14:paraId="169D743F" w14:textId="77777777" w:rsidR="009E3E6F" w:rsidRPr="00BF25F2" w:rsidRDefault="009E3E6F" w:rsidP="009E3E6F">
                  <w:pPr>
                    <w:spacing w:after="0"/>
                    <w:rPr>
                      <w:rFonts w:cs="Arial"/>
                      <w:lang w:eastAsia="en-US"/>
                    </w:rPr>
                  </w:pPr>
                  <w:r>
                    <w:rPr>
                      <w:rFonts w:cs="Arial"/>
                      <w:lang w:eastAsia="en-US"/>
                    </w:rPr>
                    <w:t>8.8</w:t>
                  </w:r>
                </w:p>
              </w:tc>
            </w:tr>
            <w:tr w:rsidR="009E3E6F" w14:paraId="41E7DEDE" w14:textId="77777777" w:rsidTr="001F1FCF">
              <w:tc>
                <w:tcPr>
                  <w:tcW w:w="1569" w:type="dxa"/>
                  <w:tcBorders>
                    <w:top w:val="single" w:sz="4" w:space="0" w:color="auto"/>
                    <w:left w:val="single" w:sz="4" w:space="0" w:color="auto"/>
                    <w:bottom w:val="single" w:sz="4" w:space="0" w:color="auto"/>
                    <w:right w:val="single" w:sz="4" w:space="0" w:color="auto"/>
                  </w:tcBorders>
                  <w:hideMark/>
                </w:tcPr>
                <w:p w14:paraId="47D6088D" w14:textId="77777777" w:rsidR="009E3E6F" w:rsidRPr="00BF25F2" w:rsidRDefault="009E3E6F" w:rsidP="009E3E6F">
                  <w:pPr>
                    <w:spacing w:after="0"/>
                    <w:rPr>
                      <w:rFonts w:cs="Arial"/>
                      <w:lang w:eastAsia="en-US"/>
                    </w:rPr>
                  </w:pPr>
                  <w:r w:rsidRPr="00BF25F2">
                    <w:rPr>
                      <w:rFonts w:cs="Arial"/>
                      <w:lang w:eastAsia="en-US"/>
                    </w:rPr>
                    <w:t xml:space="preserve">5 or above in En &amp; Ma (%) Basics </w:t>
                  </w:r>
                </w:p>
              </w:tc>
              <w:tc>
                <w:tcPr>
                  <w:tcW w:w="1237" w:type="dxa"/>
                  <w:tcBorders>
                    <w:top w:val="single" w:sz="4" w:space="0" w:color="auto"/>
                    <w:left w:val="single" w:sz="4" w:space="0" w:color="auto"/>
                    <w:bottom w:val="single" w:sz="4" w:space="0" w:color="auto"/>
                    <w:right w:val="single" w:sz="4" w:space="0" w:color="auto"/>
                  </w:tcBorders>
                  <w:hideMark/>
                </w:tcPr>
                <w:p w14:paraId="7912EC20" w14:textId="77777777" w:rsidR="009E3E6F" w:rsidRPr="00BF25F2" w:rsidRDefault="009E3E6F" w:rsidP="009E3E6F">
                  <w:pPr>
                    <w:spacing w:after="0"/>
                    <w:rPr>
                      <w:rFonts w:cs="Arial"/>
                      <w:lang w:eastAsia="en-US"/>
                    </w:rPr>
                  </w:pPr>
                  <w:r>
                    <w:rPr>
                      <w:rFonts w:cs="Arial"/>
                      <w:lang w:eastAsia="en-US"/>
                    </w:rPr>
                    <w:t>32.3</w:t>
                  </w:r>
                </w:p>
              </w:tc>
              <w:tc>
                <w:tcPr>
                  <w:tcW w:w="1250" w:type="dxa"/>
                  <w:tcBorders>
                    <w:top w:val="single" w:sz="4" w:space="0" w:color="auto"/>
                    <w:left w:val="single" w:sz="4" w:space="0" w:color="auto"/>
                    <w:bottom w:val="single" w:sz="4" w:space="0" w:color="auto"/>
                    <w:right w:val="single" w:sz="4" w:space="0" w:color="auto"/>
                  </w:tcBorders>
                  <w:hideMark/>
                </w:tcPr>
                <w:p w14:paraId="65F97ED5" w14:textId="77777777" w:rsidR="009E3E6F" w:rsidRPr="00BF25F2" w:rsidRDefault="009E3E6F" w:rsidP="009E3E6F">
                  <w:pPr>
                    <w:spacing w:after="0"/>
                    <w:rPr>
                      <w:rFonts w:cs="Arial"/>
                      <w:lang w:eastAsia="en-US"/>
                    </w:rPr>
                  </w:pPr>
                  <w:r w:rsidRPr="00BF25F2">
                    <w:rPr>
                      <w:rFonts w:cs="Arial"/>
                      <w:lang w:eastAsia="en-US"/>
                    </w:rPr>
                    <w:t>18.</w:t>
                  </w:r>
                  <w:r>
                    <w:rPr>
                      <w:rFonts w:cs="Arial"/>
                      <w:lang w:eastAsia="en-US"/>
                    </w:rPr>
                    <w:t>0</w:t>
                  </w:r>
                </w:p>
              </w:tc>
              <w:tc>
                <w:tcPr>
                  <w:tcW w:w="1130" w:type="dxa"/>
                  <w:tcBorders>
                    <w:top w:val="single" w:sz="4" w:space="0" w:color="auto"/>
                    <w:left w:val="single" w:sz="4" w:space="0" w:color="auto"/>
                    <w:bottom w:val="single" w:sz="4" w:space="0" w:color="auto"/>
                    <w:right w:val="single" w:sz="4" w:space="0" w:color="auto"/>
                  </w:tcBorders>
                </w:tcPr>
                <w:p w14:paraId="2F83B148" w14:textId="77777777" w:rsidR="009E3E6F" w:rsidRPr="00BF25F2" w:rsidRDefault="009E3E6F" w:rsidP="009E3E6F">
                  <w:pPr>
                    <w:spacing w:after="0"/>
                    <w:rPr>
                      <w:rFonts w:cs="Arial"/>
                      <w:lang w:eastAsia="en-US"/>
                    </w:rPr>
                  </w:pPr>
                  <w:r>
                    <w:rPr>
                      <w:rFonts w:cs="Arial"/>
                      <w:lang w:eastAsia="en-US"/>
                    </w:rPr>
                    <w:t>14.3</w:t>
                  </w:r>
                </w:p>
              </w:tc>
              <w:tc>
                <w:tcPr>
                  <w:tcW w:w="1472" w:type="dxa"/>
                  <w:tcBorders>
                    <w:top w:val="single" w:sz="4" w:space="0" w:color="auto"/>
                    <w:left w:val="single" w:sz="4" w:space="0" w:color="auto"/>
                    <w:bottom w:val="single" w:sz="4" w:space="0" w:color="auto"/>
                    <w:right w:val="single" w:sz="4" w:space="0" w:color="auto"/>
                  </w:tcBorders>
                </w:tcPr>
                <w:p w14:paraId="6A34F351" w14:textId="77777777" w:rsidR="009E3E6F" w:rsidRPr="00BF25F2" w:rsidRDefault="009E3E6F" w:rsidP="009E3E6F">
                  <w:pPr>
                    <w:spacing w:after="0"/>
                    <w:rPr>
                      <w:rFonts w:cs="Arial"/>
                      <w:lang w:eastAsia="en-US"/>
                    </w:rPr>
                  </w:pPr>
                  <w:r w:rsidRPr="00BF25F2">
                    <w:rPr>
                      <w:rFonts w:cs="Arial"/>
                      <w:lang w:eastAsia="en-US"/>
                    </w:rPr>
                    <w:t>3</w:t>
                  </w:r>
                  <w:r>
                    <w:rPr>
                      <w:rFonts w:cs="Arial"/>
                      <w:lang w:eastAsia="en-US"/>
                    </w:rPr>
                    <w:t>1.2</w:t>
                  </w:r>
                </w:p>
              </w:tc>
              <w:tc>
                <w:tcPr>
                  <w:tcW w:w="1275" w:type="dxa"/>
                  <w:tcBorders>
                    <w:top w:val="single" w:sz="4" w:space="0" w:color="auto"/>
                    <w:left w:val="single" w:sz="4" w:space="0" w:color="auto"/>
                    <w:bottom w:val="single" w:sz="4" w:space="0" w:color="auto"/>
                    <w:right w:val="single" w:sz="4" w:space="0" w:color="auto"/>
                  </w:tcBorders>
                </w:tcPr>
                <w:p w14:paraId="0C67544E" w14:textId="77777777" w:rsidR="009E3E6F" w:rsidRPr="00BF25F2" w:rsidRDefault="009E3E6F" w:rsidP="009E3E6F">
                  <w:pPr>
                    <w:spacing w:after="0"/>
                    <w:rPr>
                      <w:rFonts w:cs="Arial"/>
                      <w:lang w:eastAsia="en-US"/>
                    </w:rPr>
                  </w:pPr>
                  <w:r w:rsidRPr="00BF25F2">
                    <w:rPr>
                      <w:rFonts w:cs="Arial"/>
                      <w:lang w:eastAsia="en-US"/>
                    </w:rPr>
                    <w:t>2</w:t>
                  </w:r>
                  <w:r>
                    <w:rPr>
                      <w:rFonts w:cs="Arial"/>
                      <w:lang w:eastAsia="en-US"/>
                    </w:rPr>
                    <w:t>4.1</w:t>
                  </w:r>
                </w:p>
              </w:tc>
              <w:tc>
                <w:tcPr>
                  <w:tcW w:w="1083" w:type="dxa"/>
                  <w:tcBorders>
                    <w:top w:val="single" w:sz="4" w:space="0" w:color="auto"/>
                    <w:left w:val="single" w:sz="4" w:space="0" w:color="auto"/>
                    <w:bottom w:val="single" w:sz="4" w:space="0" w:color="auto"/>
                    <w:right w:val="single" w:sz="4" w:space="0" w:color="auto"/>
                  </w:tcBorders>
                </w:tcPr>
                <w:p w14:paraId="7319DAB2" w14:textId="77777777" w:rsidR="009E3E6F" w:rsidRPr="00BF25F2" w:rsidRDefault="009E3E6F" w:rsidP="009E3E6F">
                  <w:pPr>
                    <w:spacing w:after="0"/>
                    <w:rPr>
                      <w:rFonts w:cs="Arial"/>
                      <w:lang w:eastAsia="en-US"/>
                    </w:rPr>
                  </w:pPr>
                  <w:r>
                    <w:rPr>
                      <w:rFonts w:cs="Arial"/>
                      <w:lang w:eastAsia="en-US"/>
                    </w:rPr>
                    <w:t>7.1</w:t>
                  </w:r>
                </w:p>
              </w:tc>
            </w:tr>
            <w:tr w:rsidR="009E3E6F" w14:paraId="3DF370C7" w14:textId="77777777" w:rsidTr="001F1FCF">
              <w:tc>
                <w:tcPr>
                  <w:tcW w:w="1569" w:type="dxa"/>
                  <w:tcBorders>
                    <w:top w:val="single" w:sz="4" w:space="0" w:color="auto"/>
                    <w:left w:val="single" w:sz="4" w:space="0" w:color="auto"/>
                    <w:bottom w:val="single" w:sz="4" w:space="0" w:color="auto"/>
                    <w:right w:val="single" w:sz="4" w:space="0" w:color="auto"/>
                  </w:tcBorders>
                  <w:hideMark/>
                </w:tcPr>
                <w:p w14:paraId="775DBC64" w14:textId="77777777" w:rsidR="009E3E6F" w:rsidRPr="00BF25F2" w:rsidRDefault="009E3E6F" w:rsidP="009E3E6F">
                  <w:pPr>
                    <w:spacing w:after="0"/>
                    <w:rPr>
                      <w:rFonts w:cs="Arial"/>
                      <w:lang w:eastAsia="en-US"/>
                    </w:rPr>
                  </w:pPr>
                  <w:r w:rsidRPr="00BF25F2">
                    <w:rPr>
                      <w:rFonts w:cs="Arial"/>
                      <w:lang w:eastAsia="en-US"/>
                    </w:rPr>
                    <w:t>4 or above in En &amp; Ma (%) Basics</w:t>
                  </w:r>
                </w:p>
              </w:tc>
              <w:tc>
                <w:tcPr>
                  <w:tcW w:w="1237" w:type="dxa"/>
                  <w:tcBorders>
                    <w:top w:val="single" w:sz="4" w:space="0" w:color="auto"/>
                    <w:left w:val="single" w:sz="4" w:space="0" w:color="auto"/>
                    <w:bottom w:val="single" w:sz="4" w:space="0" w:color="auto"/>
                    <w:right w:val="single" w:sz="4" w:space="0" w:color="auto"/>
                  </w:tcBorders>
                  <w:hideMark/>
                </w:tcPr>
                <w:p w14:paraId="62114F0C" w14:textId="77777777" w:rsidR="009E3E6F" w:rsidRPr="00BF25F2" w:rsidRDefault="009E3E6F" w:rsidP="009E3E6F">
                  <w:pPr>
                    <w:spacing w:after="0"/>
                    <w:rPr>
                      <w:rFonts w:cs="Arial"/>
                      <w:lang w:eastAsia="en-US"/>
                    </w:rPr>
                  </w:pPr>
                  <w:r>
                    <w:rPr>
                      <w:rFonts w:cs="Arial"/>
                      <w:lang w:eastAsia="en-US"/>
                    </w:rPr>
                    <w:t>56.1</w:t>
                  </w:r>
                </w:p>
              </w:tc>
              <w:tc>
                <w:tcPr>
                  <w:tcW w:w="1250" w:type="dxa"/>
                  <w:tcBorders>
                    <w:top w:val="single" w:sz="4" w:space="0" w:color="auto"/>
                    <w:left w:val="single" w:sz="4" w:space="0" w:color="auto"/>
                    <w:bottom w:val="single" w:sz="4" w:space="0" w:color="auto"/>
                    <w:right w:val="single" w:sz="4" w:space="0" w:color="auto"/>
                  </w:tcBorders>
                  <w:hideMark/>
                </w:tcPr>
                <w:p w14:paraId="4D126FFA" w14:textId="77777777" w:rsidR="009E3E6F" w:rsidRPr="00BF25F2" w:rsidRDefault="009E3E6F" w:rsidP="009E3E6F">
                  <w:pPr>
                    <w:spacing w:after="0"/>
                    <w:rPr>
                      <w:rFonts w:cs="Arial"/>
                      <w:lang w:eastAsia="en-US"/>
                    </w:rPr>
                  </w:pPr>
                  <w:r w:rsidRPr="00BF25F2">
                    <w:rPr>
                      <w:rFonts w:cs="Arial"/>
                      <w:lang w:eastAsia="en-US"/>
                    </w:rPr>
                    <w:t>39.</w:t>
                  </w:r>
                  <w:r>
                    <w:rPr>
                      <w:rFonts w:cs="Arial"/>
                      <w:lang w:eastAsia="en-US"/>
                    </w:rPr>
                    <w:t>0</w:t>
                  </w:r>
                </w:p>
              </w:tc>
              <w:tc>
                <w:tcPr>
                  <w:tcW w:w="1130" w:type="dxa"/>
                  <w:tcBorders>
                    <w:top w:val="single" w:sz="4" w:space="0" w:color="auto"/>
                    <w:left w:val="single" w:sz="4" w:space="0" w:color="auto"/>
                    <w:bottom w:val="single" w:sz="4" w:space="0" w:color="auto"/>
                    <w:right w:val="single" w:sz="4" w:space="0" w:color="auto"/>
                  </w:tcBorders>
                </w:tcPr>
                <w:p w14:paraId="575EA3E2" w14:textId="77777777" w:rsidR="009E3E6F" w:rsidRPr="00BF25F2" w:rsidRDefault="009E3E6F" w:rsidP="009E3E6F">
                  <w:pPr>
                    <w:spacing w:after="0"/>
                    <w:rPr>
                      <w:rFonts w:cs="Arial"/>
                      <w:lang w:eastAsia="en-US"/>
                    </w:rPr>
                  </w:pPr>
                  <w:r>
                    <w:rPr>
                      <w:rFonts w:cs="Arial"/>
                      <w:lang w:eastAsia="en-US"/>
                    </w:rPr>
                    <w:t>17.1</w:t>
                  </w:r>
                </w:p>
              </w:tc>
              <w:tc>
                <w:tcPr>
                  <w:tcW w:w="1472" w:type="dxa"/>
                  <w:tcBorders>
                    <w:top w:val="single" w:sz="4" w:space="0" w:color="auto"/>
                    <w:left w:val="single" w:sz="4" w:space="0" w:color="auto"/>
                    <w:bottom w:val="single" w:sz="4" w:space="0" w:color="auto"/>
                    <w:right w:val="single" w:sz="4" w:space="0" w:color="auto"/>
                  </w:tcBorders>
                </w:tcPr>
                <w:p w14:paraId="64C1FBAD" w14:textId="77777777" w:rsidR="009E3E6F" w:rsidRPr="00BF25F2" w:rsidRDefault="009E3E6F" w:rsidP="009E3E6F">
                  <w:pPr>
                    <w:spacing w:after="0"/>
                    <w:rPr>
                      <w:rFonts w:cs="Arial"/>
                      <w:lang w:eastAsia="en-US"/>
                    </w:rPr>
                  </w:pPr>
                  <w:r w:rsidRPr="00BF25F2">
                    <w:rPr>
                      <w:rFonts w:cs="Arial"/>
                      <w:lang w:eastAsia="en-US"/>
                    </w:rPr>
                    <w:t>5</w:t>
                  </w:r>
                  <w:r>
                    <w:rPr>
                      <w:rFonts w:cs="Arial"/>
                      <w:lang w:eastAsia="en-US"/>
                    </w:rPr>
                    <w:t>9.4</w:t>
                  </w:r>
                </w:p>
              </w:tc>
              <w:tc>
                <w:tcPr>
                  <w:tcW w:w="1275" w:type="dxa"/>
                  <w:tcBorders>
                    <w:top w:val="single" w:sz="4" w:space="0" w:color="auto"/>
                    <w:left w:val="single" w:sz="4" w:space="0" w:color="auto"/>
                    <w:bottom w:val="single" w:sz="4" w:space="0" w:color="auto"/>
                    <w:right w:val="single" w:sz="4" w:space="0" w:color="auto"/>
                  </w:tcBorders>
                </w:tcPr>
                <w:p w14:paraId="00E10F3E" w14:textId="77777777" w:rsidR="009E3E6F" w:rsidRPr="00BF25F2" w:rsidRDefault="009E3E6F" w:rsidP="009E3E6F">
                  <w:pPr>
                    <w:spacing w:after="0"/>
                    <w:rPr>
                      <w:rFonts w:cs="Arial"/>
                      <w:lang w:eastAsia="en-US"/>
                    </w:rPr>
                  </w:pPr>
                  <w:r w:rsidRPr="00BF25F2">
                    <w:rPr>
                      <w:rFonts w:cs="Arial"/>
                      <w:lang w:eastAsia="en-US"/>
                    </w:rPr>
                    <w:t>3</w:t>
                  </w:r>
                  <w:r>
                    <w:rPr>
                      <w:rFonts w:cs="Arial"/>
                      <w:lang w:eastAsia="en-US"/>
                    </w:rPr>
                    <w:t>7.1</w:t>
                  </w:r>
                </w:p>
              </w:tc>
              <w:tc>
                <w:tcPr>
                  <w:tcW w:w="1083" w:type="dxa"/>
                  <w:tcBorders>
                    <w:top w:val="single" w:sz="4" w:space="0" w:color="auto"/>
                    <w:left w:val="single" w:sz="4" w:space="0" w:color="auto"/>
                    <w:bottom w:val="single" w:sz="4" w:space="0" w:color="auto"/>
                    <w:right w:val="single" w:sz="4" w:space="0" w:color="auto"/>
                  </w:tcBorders>
                </w:tcPr>
                <w:p w14:paraId="55126682" w14:textId="77777777" w:rsidR="009E3E6F" w:rsidRPr="00BF25F2" w:rsidRDefault="009E3E6F" w:rsidP="009E3E6F">
                  <w:pPr>
                    <w:spacing w:after="0"/>
                    <w:rPr>
                      <w:rFonts w:cs="Arial"/>
                      <w:lang w:eastAsia="en-US"/>
                    </w:rPr>
                  </w:pPr>
                  <w:r>
                    <w:rPr>
                      <w:rFonts w:cs="Arial"/>
                      <w:lang w:eastAsia="en-US"/>
                    </w:rPr>
                    <w:t>22.3</w:t>
                  </w:r>
                </w:p>
              </w:tc>
            </w:tr>
            <w:tr w:rsidR="009E3E6F" w14:paraId="0662085B" w14:textId="77777777" w:rsidTr="001F1FCF">
              <w:tc>
                <w:tcPr>
                  <w:tcW w:w="1569" w:type="dxa"/>
                  <w:tcBorders>
                    <w:top w:val="single" w:sz="4" w:space="0" w:color="auto"/>
                    <w:left w:val="single" w:sz="4" w:space="0" w:color="auto"/>
                    <w:bottom w:val="single" w:sz="4" w:space="0" w:color="auto"/>
                    <w:right w:val="single" w:sz="4" w:space="0" w:color="auto"/>
                  </w:tcBorders>
                  <w:hideMark/>
                </w:tcPr>
                <w:p w14:paraId="3F3A68A5" w14:textId="77777777" w:rsidR="009E3E6F" w:rsidRPr="00BF25F2" w:rsidRDefault="009E3E6F" w:rsidP="009E3E6F">
                  <w:pPr>
                    <w:spacing w:after="0"/>
                    <w:rPr>
                      <w:rFonts w:cs="Arial"/>
                      <w:lang w:eastAsia="en-US"/>
                    </w:rPr>
                  </w:pPr>
                  <w:r w:rsidRPr="00BF25F2">
                    <w:rPr>
                      <w:rFonts w:cs="Arial"/>
                      <w:lang w:eastAsia="en-US"/>
                    </w:rPr>
                    <w:t>5 or above in EBacc (%)</w:t>
                  </w:r>
                </w:p>
              </w:tc>
              <w:tc>
                <w:tcPr>
                  <w:tcW w:w="1237" w:type="dxa"/>
                  <w:tcBorders>
                    <w:top w:val="single" w:sz="4" w:space="0" w:color="auto"/>
                    <w:left w:val="single" w:sz="4" w:space="0" w:color="auto"/>
                    <w:bottom w:val="single" w:sz="4" w:space="0" w:color="auto"/>
                    <w:right w:val="single" w:sz="4" w:space="0" w:color="auto"/>
                  </w:tcBorders>
                  <w:hideMark/>
                </w:tcPr>
                <w:p w14:paraId="3ECD606D" w14:textId="77777777" w:rsidR="009E3E6F" w:rsidRPr="00BF25F2" w:rsidRDefault="009E3E6F" w:rsidP="009E3E6F">
                  <w:pPr>
                    <w:spacing w:after="0"/>
                    <w:rPr>
                      <w:rFonts w:cs="Arial"/>
                      <w:lang w:eastAsia="en-US"/>
                    </w:rPr>
                  </w:pPr>
                  <w:r>
                    <w:rPr>
                      <w:rFonts w:cs="Arial"/>
                      <w:lang w:eastAsia="en-US"/>
                    </w:rPr>
                    <w:t>5.5</w:t>
                  </w:r>
                </w:p>
              </w:tc>
              <w:tc>
                <w:tcPr>
                  <w:tcW w:w="1250" w:type="dxa"/>
                  <w:tcBorders>
                    <w:top w:val="single" w:sz="4" w:space="0" w:color="auto"/>
                    <w:left w:val="single" w:sz="4" w:space="0" w:color="auto"/>
                    <w:bottom w:val="single" w:sz="4" w:space="0" w:color="auto"/>
                    <w:right w:val="single" w:sz="4" w:space="0" w:color="auto"/>
                  </w:tcBorders>
                  <w:hideMark/>
                </w:tcPr>
                <w:p w14:paraId="67F9114F" w14:textId="77777777" w:rsidR="009E3E6F" w:rsidRPr="00BF25F2" w:rsidRDefault="009E3E6F" w:rsidP="009E3E6F">
                  <w:pPr>
                    <w:spacing w:after="0"/>
                    <w:rPr>
                      <w:rFonts w:cs="Arial"/>
                      <w:lang w:eastAsia="en-US"/>
                    </w:rPr>
                  </w:pPr>
                  <w:r>
                    <w:rPr>
                      <w:rFonts w:cs="Arial"/>
                      <w:lang w:eastAsia="en-US"/>
                    </w:rPr>
                    <w:t>1.0</w:t>
                  </w:r>
                </w:p>
              </w:tc>
              <w:tc>
                <w:tcPr>
                  <w:tcW w:w="1130" w:type="dxa"/>
                  <w:tcBorders>
                    <w:top w:val="single" w:sz="4" w:space="0" w:color="auto"/>
                    <w:left w:val="single" w:sz="4" w:space="0" w:color="auto"/>
                    <w:bottom w:val="single" w:sz="4" w:space="0" w:color="auto"/>
                    <w:right w:val="single" w:sz="4" w:space="0" w:color="auto"/>
                  </w:tcBorders>
                </w:tcPr>
                <w:p w14:paraId="5919EA20" w14:textId="77777777" w:rsidR="009E3E6F" w:rsidRDefault="009E3E6F" w:rsidP="009E3E6F">
                  <w:pPr>
                    <w:spacing w:after="0"/>
                    <w:rPr>
                      <w:rFonts w:cs="Arial"/>
                      <w:lang w:eastAsia="en-US"/>
                    </w:rPr>
                  </w:pPr>
                  <w:r>
                    <w:rPr>
                      <w:rFonts w:cs="Arial"/>
                      <w:lang w:eastAsia="en-US"/>
                    </w:rPr>
                    <w:t>4.5</w:t>
                  </w:r>
                </w:p>
              </w:tc>
              <w:tc>
                <w:tcPr>
                  <w:tcW w:w="1472" w:type="dxa"/>
                  <w:tcBorders>
                    <w:top w:val="single" w:sz="4" w:space="0" w:color="auto"/>
                    <w:left w:val="single" w:sz="4" w:space="0" w:color="auto"/>
                    <w:bottom w:val="single" w:sz="4" w:space="0" w:color="auto"/>
                    <w:right w:val="single" w:sz="4" w:space="0" w:color="auto"/>
                  </w:tcBorders>
                </w:tcPr>
                <w:p w14:paraId="5237B314" w14:textId="77777777" w:rsidR="009E3E6F" w:rsidRPr="00BF25F2" w:rsidRDefault="009E3E6F" w:rsidP="009E3E6F">
                  <w:pPr>
                    <w:spacing w:after="0"/>
                    <w:rPr>
                      <w:rFonts w:cs="Arial"/>
                      <w:lang w:eastAsia="en-US"/>
                    </w:rPr>
                  </w:pPr>
                  <w:r>
                    <w:rPr>
                      <w:rFonts w:cs="Arial"/>
                      <w:lang w:eastAsia="en-US"/>
                    </w:rPr>
                    <w:t>13.0</w:t>
                  </w:r>
                </w:p>
              </w:tc>
              <w:tc>
                <w:tcPr>
                  <w:tcW w:w="1275" w:type="dxa"/>
                  <w:tcBorders>
                    <w:top w:val="single" w:sz="4" w:space="0" w:color="auto"/>
                    <w:left w:val="single" w:sz="4" w:space="0" w:color="auto"/>
                    <w:bottom w:val="single" w:sz="4" w:space="0" w:color="auto"/>
                    <w:right w:val="single" w:sz="4" w:space="0" w:color="auto"/>
                  </w:tcBorders>
                </w:tcPr>
                <w:p w14:paraId="3DDDDDDB" w14:textId="77777777" w:rsidR="009E3E6F" w:rsidRPr="00BF25F2" w:rsidRDefault="009E3E6F" w:rsidP="009E3E6F">
                  <w:pPr>
                    <w:spacing w:after="0"/>
                    <w:rPr>
                      <w:rFonts w:cs="Arial"/>
                      <w:lang w:eastAsia="en-US"/>
                    </w:rPr>
                  </w:pPr>
                  <w:r w:rsidRPr="00BF25F2">
                    <w:rPr>
                      <w:rFonts w:cs="Arial"/>
                      <w:lang w:eastAsia="en-US"/>
                    </w:rPr>
                    <w:t>6</w:t>
                  </w:r>
                  <w:r>
                    <w:rPr>
                      <w:rFonts w:cs="Arial"/>
                      <w:lang w:eastAsia="en-US"/>
                    </w:rPr>
                    <w:t>.9</w:t>
                  </w:r>
                </w:p>
              </w:tc>
              <w:tc>
                <w:tcPr>
                  <w:tcW w:w="1083" w:type="dxa"/>
                  <w:tcBorders>
                    <w:top w:val="single" w:sz="4" w:space="0" w:color="auto"/>
                    <w:left w:val="single" w:sz="4" w:space="0" w:color="auto"/>
                    <w:bottom w:val="single" w:sz="4" w:space="0" w:color="auto"/>
                    <w:right w:val="single" w:sz="4" w:space="0" w:color="auto"/>
                  </w:tcBorders>
                </w:tcPr>
                <w:p w14:paraId="0395015D" w14:textId="77777777" w:rsidR="009E3E6F" w:rsidRPr="00BF25F2" w:rsidRDefault="009E3E6F" w:rsidP="009E3E6F">
                  <w:pPr>
                    <w:spacing w:after="0"/>
                    <w:rPr>
                      <w:rFonts w:cs="Arial"/>
                      <w:lang w:eastAsia="en-US"/>
                    </w:rPr>
                  </w:pPr>
                  <w:r>
                    <w:rPr>
                      <w:rFonts w:cs="Arial"/>
                      <w:lang w:eastAsia="en-US"/>
                    </w:rPr>
                    <w:t>6.1</w:t>
                  </w:r>
                </w:p>
              </w:tc>
            </w:tr>
            <w:tr w:rsidR="009E3E6F" w14:paraId="693A23ED" w14:textId="77777777" w:rsidTr="001F1FCF">
              <w:tc>
                <w:tcPr>
                  <w:tcW w:w="1569" w:type="dxa"/>
                  <w:tcBorders>
                    <w:top w:val="single" w:sz="4" w:space="0" w:color="auto"/>
                    <w:left w:val="single" w:sz="4" w:space="0" w:color="auto"/>
                    <w:bottom w:val="single" w:sz="4" w:space="0" w:color="auto"/>
                    <w:right w:val="single" w:sz="4" w:space="0" w:color="auto"/>
                  </w:tcBorders>
                  <w:hideMark/>
                </w:tcPr>
                <w:p w14:paraId="79E74E0B" w14:textId="77777777" w:rsidR="009E3E6F" w:rsidRPr="00BF25F2" w:rsidRDefault="009E3E6F" w:rsidP="009E3E6F">
                  <w:pPr>
                    <w:spacing w:after="0"/>
                    <w:rPr>
                      <w:rFonts w:cs="Arial"/>
                      <w:lang w:eastAsia="en-US"/>
                    </w:rPr>
                  </w:pPr>
                  <w:r w:rsidRPr="00BF25F2">
                    <w:rPr>
                      <w:rFonts w:cs="Arial"/>
                      <w:lang w:eastAsia="en-US"/>
                    </w:rPr>
                    <w:t>4 or above in EBacc (%)</w:t>
                  </w:r>
                </w:p>
              </w:tc>
              <w:tc>
                <w:tcPr>
                  <w:tcW w:w="1237" w:type="dxa"/>
                  <w:tcBorders>
                    <w:top w:val="single" w:sz="4" w:space="0" w:color="auto"/>
                    <w:left w:val="single" w:sz="4" w:space="0" w:color="auto"/>
                    <w:bottom w:val="single" w:sz="4" w:space="0" w:color="auto"/>
                    <w:right w:val="single" w:sz="4" w:space="0" w:color="auto"/>
                  </w:tcBorders>
                  <w:hideMark/>
                </w:tcPr>
                <w:p w14:paraId="39A9E4AC" w14:textId="77777777" w:rsidR="009E3E6F" w:rsidRPr="00BF25F2" w:rsidRDefault="009E3E6F" w:rsidP="009E3E6F">
                  <w:pPr>
                    <w:spacing w:after="0"/>
                    <w:rPr>
                      <w:rFonts w:cs="Arial"/>
                      <w:lang w:eastAsia="en-US"/>
                    </w:rPr>
                  </w:pPr>
                  <w:r>
                    <w:rPr>
                      <w:rFonts w:cs="Arial"/>
                      <w:lang w:eastAsia="en-US"/>
                    </w:rPr>
                    <w:t>8.5</w:t>
                  </w:r>
                </w:p>
              </w:tc>
              <w:tc>
                <w:tcPr>
                  <w:tcW w:w="1250" w:type="dxa"/>
                  <w:tcBorders>
                    <w:top w:val="single" w:sz="4" w:space="0" w:color="auto"/>
                    <w:left w:val="single" w:sz="4" w:space="0" w:color="auto"/>
                    <w:bottom w:val="single" w:sz="4" w:space="0" w:color="auto"/>
                    <w:right w:val="single" w:sz="4" w:space="0" w:color="auto"/>
                  </w:tcBorders>
                  <w:hideMark/>
                </w:tcPr>
                <w:p w14:paraId="45B66AE2" w14:textId="77777777" w:rsidR="009E3E6F" w:rsidRPr="00BF25F2" w:rsidRDefault="009E3E6F" w:rsidP="009E3E6F">
                  <w:pPr>
                    <w:spacing w:after="0"/>
                    <w:rPr>
                      <w:rFonts w:cs="Arial"/>
                      <w:lang w:eastAsia="en-US"/>
                    </w:rPr>
                  </w:pPr>
                  <w:r w:rsidRPr="00BF25F2">
                    <w:rPr>
                      <w:rFonts w:cs="Arial"/>
                      <w:lang w:eastAsia="en-US"/>
                    </w:rPr>
                    <w:t>3.0</w:t>
                  </w:r>
                </w:p>
              </w:tc>
              <w:tc>
                <w:tcPr>
                  <w:tcW w:w="1130" w:type="dxa"/>
                  <w:tcBorders>
                    <w:top w:val="single" w:sz="4" w:space="0" w:color="auto"/>
                    <w:left w:val="single" w:sz="4" w:space="0" w:color="auto"/>
                    <w:bottom w:val="single" w:sz="4" w:space="0" w:color="auto"/>
                    <w:right w:val="single" w:sz="4" w:space="0" w:color="auto"/>
                  </w:tcBorders>
                </w:tcPr>
                <w:p w14:paraId="022F3620" w14:textId="77777777" w:rsidR="009E3E6F" w:rsidRPr="00BF25F2" w:rsidRDefault="009E3E6F" w:rsidP="009E3E6F">
                  <w:pPr>
                    <w:spacing w:after="0"/>
                    <w:rPr>
                      <w:rFonts w:cs="Arial"/>
                      <w:lang w:eastAsia="en-US"/>
                    </w:rPr>
                  </w:pPr>
                  <w:r>
                    <w:rPr>
                      <w:rFonts w:cs="Arial"/>
                      <w:lang w:eastAsia="en-US"/>
                    </w:rPr>
                    <w:t>5.5</w:t>
                  </w:r>
                </w:p>
              </w:tc>
              <w:tc>
                <w:tcPr>
                  <w:tcW w:w="1472" w:type="dxa"/>
                  <w:tcBorders>
                    <w:top w:val="single" w:sz="4" w:space="0" w:color="auto"/>
                    <w:left w:val="single" w:sz="4" w:space="0" w:color="auto"/>
                    <w:bottom w:val="single" w:sz="4" w:space="0" w:color="auto"/>
                    <w:right w:val="single" w:sz="4" w:space="0" w:color="auto"/>
                  </w:tcBorders>
                </w:tcPr>
                <w:p w14:paraId="683C0AD1" w14:textId="77777777" w:rsidR="009E3E6F" w:rsidRPr="00BF25F2" w:rsidRDefault="009E3E6F" w:rsidP="009E3E6F">
                  <w:pPr>
                    <w:spacing w:after="0"/>
                    <w:rPr>
                      <w:rFonts w:cs="Arial"/>
                      <w:lang w:eastAsia="en-US"/>
                    </w:rPr>
                  </w:pPr>
                  <w:r w:rsidRPr="00BF25F2">
                    <w:rPr>
                      <w:rFonts w:cs="Arial"/>
                      <w:lang w:eastAsia="en-US"/>
                    </w:rPr>
                    <w:t>1</w:t>
                  </w:r>
                  <w:r>
                    <w:rPr>
                      <w:rFonts w:cs="Arial"/>
                      <w:lang w:eastAsia="en-US"/>
                    </w:rPr>
                    <w:t>9.6</w:t>
                  </w:r>
                </w:p>
              </w:tc>
              <w:tc>
                <w:tcPr>
                  <w:tcW w:w="1275" w:type="dxa"/>
                  <w:tcBorders>
                    <w:top w:val="single" w:sz="4" w:space="0" w:color="auto"/>
                    <w:left w:val="single" w:sz="4" w:space="0" w:color="auto"/>
                    <w:bottom w:val="single" w:sz="4" w:space="0" w:color="auto"/>
                    <w:right w:val="single" w:sz="4" w:space="0" w:color="auto"/>
                  </w:tcBorders>
                </w:tcPr>
                <w:p w14:paraId="6277DFAC" w14:textId="77777777" w:rsidR="009E3E6F" w:rsidRPr="00BF25F2" w:rsidRDefault="009E3E6F" w:rsidP="009E3E6F">
                  <w:pPr>
                    <w:spacing w:after="0"/>
                    <w:rPr>
                      <w:rFonts w:cs="Arial"/>
                      <w:lang w:eastAsia="en-US"/>
                    </w:rPr>
                  </w:pPr>
                  <w:r w:rsidRPr="00BF25F2">
                    <w:rPr>
                      <w:rFonts w:cs="Arial"/>
                      <w:lang w:eastAsia="en-US"/>
                    </w:rPr>
                    <w:t>12</w:t>
                  </w:r>
                  <w:r>
                    <w:rPr>
                      <w:rFonts w:cs="Arial"/>
                      <w:lang w:eastAsia="en-US"/>
                    </w:rPr>
                    <w:t>.1</w:t>
                  </w:r>
                </w:p>
              </w:tc>
              <w:tc>
                <w:tcPr>
                  <w:tcW w:w="1083" w:type="dxa"/>
                  <w:tcBorders>
                    <w:top w:val="single" w:sz="4" w:space="0" w:color="auto"/>
                    <w:left w:val="single" w:sz="4" w:space="0" w:color="auto"/>
                    <w:bottom w:val="single" w:sz="4" w:space="0" w:color="auto"/>
                    <w:right w:val="single" w:sz="4" w:space="0" w:color="auto"/>
                  </w:tcBorders>
                </w:tcPr>
                <w:p w14:paraId="2BCCC1F8" w14:textId="77777777" w:rsidR="009E3E6F" w:rsidRPr="00BF25F2" w:rsidRDefault="009E3E6F" w:rsidP="009E3E6F">
                  <w:pPr>
                    <w:spacing w:after="0"/>
                    <w:rPr>
                      <w:rFonts w:cs="Arial"/>
                      <w:lang w:eastAsia="en-US"/>
                    </w:rPr>
                  </w:pPr>
                  <w:r>
                    <w:rPr>
                      <w:rFonts w:cs="Arial"/>
                      <w:lang w:eastAsia="en-US"/>
                    </w:rPr>
                    <w:t>7.5</w:t>
                  </w:r>
                </w:p>
              </w:tc>
            </w:tr>
            <w:tr w:rsidR="009E3E6F" w14:paraId="10AAB799" w14:textId="77777777" w:rsidTr="001F1FCF">
              <w:tc>
                <w:tcPr>
                  <w:tcW w:w="1569" w:type="dxa"/>
                  <w:tcBorders>
                    <w:top w:val="single" w:sz="4" w:space="0" w:color="auto"/>
                    <w:left w:val="single" w:sz="4" w:space="0" w:color="auto"/>
                    <w:bottom w:val="single" w:sz="4" w:space="0" w:color="auto"/>
                    <w:right w:val="single" w:sz="4" w:space="0" w:color="auto"/>
                  </w:tcBorders>
                  <w:hideMark/>
                </w:tcPr>
                <w:p w14:paraId="76813D52" w14:textId="77777777" w:rsidR="009E3E6F" w:rsidRPr="00BF25F2" w:rsidRDefault="009E3E6F" w:rsidP="009E3E6F">
                  <w:pPr>
                    <w:spacing w:after="0"/>
                    <w:rPr>
                      <w:rFonts w:cs="Arial"/>
                      <w:lang w:eastAsia="en-US"/>
                    </w:rPr>
                  </w:pPr>
                  <w:r w:rsidRPr="00BF25F2">
                    <w:rPr>
                      <w:rFonts w:cs="Arial"/>
                      <w:lang w:eastAsia="en-US"/>
                    </w:rPr>
                    <w:t xml:space="preserve">5 or more subjects </w:t>
                  </w:r>
                  <w:proofErr w:type="spellStart"/>
                  <w:r w:rsidRPr="00BF25F2">
                    <w:rPr>
                      <w:rFonts w:cs="Arial"/>
                      <w:lang w:eastAsia="en-US"/>
                    </w:rPr>
                    <w:t>inc</w:t>
                  </w:r>
                  <w:proofErr w:type="spellEnd"/>
                  <w:r w:rsidRPr="00BF25F2">
                    <w:rPr>
                      <w:rFonts w:cs="Arial"/>
                      <w:lang w:eastAsia="en-US"/>
                    </w:rPr>
                    <w:t>, En &amp; Ma, 4+ (%)</w:t>
                  </w:r>
                </w:p>
              </w:tc>
              <w:tc>
                <w:tcPr>
                  <w:tcW w:w="1237" w:type="dxa"/>
                  <w:tcBorders>
                    <w:top w:val="single" w:sz="4" w:space="0" w:color="auto"/>
                    <w:left w:val="single" w:sz="4" w:space="0" w:color="auto"/>
                    <w:bottom w:val="single" w:sz="4" w:space="0" w:color="auto"/>
                    <w:right w:val="single" w:sz="4" w:space="0" w:color="auto"/>
                  </w:tcBorders>
                  <w:hideMark/>
                </w:tcPr>
                <w:p w14:paraId="571A6727" w14:textId="77777777" w:rsidR="009E3E6F" w:rsidRPr="00BF25F2" w:rsidRDefault="009E3E6F" w:rsidP="009E3E6F">
                  <w:pPr>
                    <w:spacing w:after="0"/>
                    <w:rPr>
                      <w:rFonts w:cs="Arial"/>
                      <w:lang w:eastAsia="en-US"/>
                    </w:rPr>
                  </w:pPr>
                  <w:r>
                    <w:rPr>
                      <w:rFonts w:cs="Arial"/>
                      <w:lang w:eastAsia="en-US"/>
                    </w:rPr>
                    <w:t>47.6</w:t>
                  </w:r>
                </w:p>
              </w:tc>
              <w:tc>
                <w:tcPr>
                  <w:tcW w:w="1250" w:type="dxa"/>
                  <w:tcBorders>
                    <w:top w:val="single" w:sz="4" w:space="0" w:color="auto"/>
                    <w:left w:val="single" w:sz="4" w:space="0" w:color="auto"/>
                    <w:bottom w:val="single" w:sz="4" w:space="0" w:color="auto"/>
                    <w:right w:val="single" w:sz="4" w:space="0" w:color="auto"/>
                  </w:tcBorders>
                  <w:hideMark/>
                </w:tcPr>
                <w:p w14:paraId="2AF42075" w14:textId="77777777" w:rsidR="009E3E6F" w:rsidRPr="00BF25F2" w:rsidRDefault="009E3E6F" w:rsidP="009E3E6F">
                  <w:pPr>
                    <w:spacing w:after="0"/>
                    <w:rPr>
                      <w:rFonts w:cs="Arial"/>
                      <w:lang w:eastAsia="en-US"/>
                    </w:rPr>
                  </w:pPr>
                  <w:r w:rsidRPr="00BF25F2">
                    <w:rPr>
                      <w:rFonts w:cs="Arial"/>
                      <w:lang w:eastAsia="en-US"/>
                    </w:rPr>
                    <w:t>30.</w:t>
                  </w:r>
                  <w:r>
                    <w:rPr>
                      <w:rFonts w:cs="Arial"/>
                      <w:lang w:eastAsia="en-US"/>
                    </w:rPr>
                    <w:t>0</w:t>
                  </w:r>
                </w:p>
              </w:tc>
              <w:tc>
                <w:tcPr>
                  <w:tcW w:w="1130" w:type="dxa"/>
                  <w:tcBorders>
                    <w:top w:val="single" w:sz="4" w:space="0" w:color="auto"/>
                    <w:left w:val="single" w:sz="4" w:space="0" w:color="auto"/>
                    <w:bottom w:val="single" w:sz="4" w:space="0" w:color="auto"/>
                    <w:right w:val="single" w:sz="4" w:space="0" w:color="auto"/>
                  </w:tcBorders>
                </w:tcPr>
                <w:p w14:paraId="728DE172" w14:textId="77777777" w:rsidR="009E3E6F" w:rsidRDefault="009E3E6F" w:rsidP="009E3E6F">
                  <w:pPr>
                    <w:spacing w:after="0"/>
                    <w:rPr>
                      <w:rFonts w:cs="Arial"/>
                      <w:lang w:eastAsia="en-US"/>
                    </w:rPr>
                  </w:pPr>
                  <w:r>
                    <w:rPr>
                      <w:rFonts w:cs="Arial"/>
                      <w:lang w:eastAsia="en-US"/>
                    </w:rPr>
                    <w:t>17.6</w:t>
                  </w:r>
                </w:p>
              </w:tc>
              <w:tc>
                <w:tcPr>
                  <w:tcW w:w="1472" w:type="dxa"/>
                  <w:tcBorders>
                    <w:top w:val="single" w:sz="4" w:space="0" w:color="auto"/>
                    <w:left w:val="single" w:sz="4" w:space="0" w:color="auto"/>
                    <w:bottom w:val="single" w:sz="4" w:space="0" w:color="auto"/>
                    <w:right w:val="single" w:sz="4" w:space="0" w:color="auto"/>
                  </w:tcBorders>
                </w:tcPr>
                <w:p w14:paraId="480ED46A" w14:textId="77777777" w:rsidR="009E3E6F" w:rsidRPr="00BF25F2" w:rsidRDefault="009E3E6F" w:rsidP="009E3E6F">
                  <w:pPr>
                    <w:spacing w:after="0"/>
                    <w:rPr>
                      <w:rFonts w:cs="Arial"/>
                      <w:lang w:eastAsia="en-US"/>
                    </w:rPr>
                  </w:pPr>
                  <w:r>
                    <w:rPr>
                      <w:rFonts w:cs="Arial"/>
                      <w:lang w:eastAsia="en-US"/>
                    </w:rPr>
                    <w:t>50.7</w:t>
                  </w:r>
                </w:p>
              </w:tc>
              <w:tc>
                <w:tcPr>
                  <w:tcW w:w="1275" w:type="dxa"/>
                  <w:tcBorders>
                    <w:top w:val="single" w:sz="4" w:space="0" w:color="auto"/>
                    <w:left w:val="single" w:sz="4" w:space="0" w:color="auto"/>
                    <w:bottom w:val="single" w:sz="4" w:space="0" w:color="auto"/>
                    <w:right w:val="single" w:sz="4" w:space="0" w:color="auto"/>
                  </w:tcBorders>
                </w:tcPr>
                <w:p w14:paraId="7BF7C60A" w14:textId="77777777" w:rsidR="009E3E6F" w:rsidRPr="00BF25F2" w:rsidRDefault="009E3E6F" w:rsidP="009E3E6F">
                  <w:pPr>
                    <w:spacing w:after="0"/>
                    <w:rPr>
                      <w:rFonts w:cs="Arial"/>
                      <w:lang w:eastAsia="en-US"/>
                    </w:rPr>
                  </w:pPr>
                  <w:r w:rsidRPr="00BF25F2">
                    <w:rPr>
                      <w:rFonts w:cs="Arial"/>
                      <w:lang w:eastAsia="en-US"/>
                    </w:rPr>
                    <w:t>3</w:t>
                  </w:r>
                  <w:r>
                    <w:rPr>
                      <w:rFonts w:cs="Arial"/>
                      <w:lang w:eastAsia="en-US"/>
                    </w:rPr>
                    <w:t>1.9</w:t>
                  </w:r>
                </w:p>
              </w:tc>
              <w:tc>
                <w:tcPr>
                  <w:tcW w:w="1083" w:type="dxa"/>
                  <w:tcBorders>
                    <w:top w:val="single" w:sz="4" w:space="0" w:color="auto"/>
                    <w:left w:val="single" w:sz="4" w:space="0" w:color="auto"/>
                    <w:bottom w:val="single" w:sz="4" w:space="0" w:color="auto"/>
                    <w:right w:val="single" w:sz="4" w:space="0" w:color="auto"/>
                  </w:tcBorders>
                </w:tcPr>
                <w:p w14:paraId="6B755E2C" w14:textId="77777777" w:rsidR="009E3E6F" w:rsidRPr="00BF25F2" w:rsidRDefault="009E3E6F" w:rsidP="009E3E6F">
                  <w:pPr>
                    <w:spacing w:after="0"/>
                    <w:rPr>
                      <w:rFonts w:cs="Arial"/>
                      <w:lang w:eastAsia="en-US"/>
                    </w:rPr>
                  </w:pPr>
                  <w:r>
                    <w:rPr>
                      <w:rFonts w:cs="Arial"/>
                      <w:lang w:eastAsia="en-US"/>
                    </w:rPr>
                    <w:t>18.8</w:t>
                  </w:r>
                </w:p>
              </w:tc>
            </w:tr>
            <w:tr w:rsidR="009E3E6F" w14:paraId="4C57162C" w14:textId="77777777" w:rsidTr="001F1FCF">
              <w:tc>
                <w:tcPr>
                  <w:tcW w:w="1569" w:type="dxa"/>
                  <w:tcBorders>
                    <w:top w:val="single" w:sz="4" w:space="0" w:color="auto"/>
                    <w:left w:val="single" w:sz="4" w:space="0" w:color="auto"/>
                    <w:bottom w:val="single" w:sz="4" w:space="0" w:color="auto"/>
                    <w:right w:val="single" w:sz="4" w:space="0" w:color="auto"/>
                  </w:tcBorders>
                  <w:hideMark/>
                </w:tcPr>
                <w:p w14:paraId="00521492" w14:textId="77777777" w:rsidR="009E3E6F" w:rsidRPr="00BF25F2" w:rsidRDefault="009E3E6F" w:rsidP="009E3E6F">
                  <w:pPr>
                    <w:spacing w:after="0"/>
                    <w:rPr>
                      <w:rFonts w:cs="Arial"/>
                      <w:lang w:eastAsia="en-US"/>
                    </w:rPr>
                  </w:pPr>
                  <w:r w:rsidRPr="00BF25F2">
                    <w:rPr>
                      <w:rFonts w:cs="Arial"/>
                      <w:lang w:eastAsia="en-US"/>
                    </w:rPr>
                    <w:t>EBacc APS</w:t>
                  </w:r>
                </w:p>
              </w:tc>
              <w:tc>
                <w:tcPr>
                  <w:tcW w:w="1237" w:type="dxa"/>
                  <w:tcBorders>
                    <w:top w:val="single" w:sz="4" w:space="0" w:color="auto"/>
                    <w:left w:val="single" w:sz="4" w:space="0" w:color="auto"/>
                    <w:bottom w:val="single" w:sz="4" w:space="0" w:color="auto"/>
                    <w:right w:val="single" w:sz="4" w:space="0" w:color="auto"/>
                  </w:tcBorders>
                  <w:hideMark/>
                </w:tcPr>
                <w:p w14:paraId="67EBCA0D" w14:textId="77777777" w:rsidR="009E3E6F" w:rsidRPr="00BF25F2" w:rsidRDefault="009E3E6F" w:rsidP="009E3E6F">
                  <w:pPr>
                    <w:spacing w:after="0"/>
                    <w:rPr>
                      <w:rFonts w:cs="Arial"/>
                      <w:lang w:eastAsia="en-US"/>
                    </w:rPr>
                  </w:pPr>
                  <w:r>
                    <w:rPr>
                      <w:rFonts w:cs="Arial"/>
                      <w:lang w:eastAsia="en-US"/>
                    </w:rPr>
                    <w:t>3.4</w:t>
                  </w:r>
                </w:p>
              </w:tc>
              <w:tc>
                <w:tcPr>
                  <w:tcW w:w="1250" w:type="dxa"/>
                  <w:tcBorders>
                    <w:top w:val="single" w:sz="4" w:space="0" w:color="auto"/>
                    <w:left w:val="single" w:sz="4" w:space="0" w:color="auto"/>
                    <w:bottom w:val="single" w:sz="4" w:space="0" w:color="auto"/>
                    <w:right w:val="single" w:sz="4" w:space="0" w:color="auto"/>
                  </w:tcBorders>
                  <w:hideMark/>
                </w:tcPr>
                <w:p w14:paraId="5BB34A96" w14:textId="77777777" w:rsidR="009E3E6F" w:rsidRPr="00BF25F2" w:rsidRDefault="009E3E6F" w:rsidP="009E3E6F">
                  <w:pPr>
                    <w:spacing w:after="0"/>
                    <w:rPr>
                      <w:rFonts w:cs="Arial"/>
                      <w:lang w:eastAsia="en-US"/>
                    </w:rPr>
                  </w:pPr>
                  <w:r w:rsidRPr="00BF25F2">
                    <w:rPr>
                      <w:rFonts w:cs="Arial"/>
                      <w:lang w:eastAsia="en-US"/>
                    </w:rPr>
                    <w:t>2.</w:t>
                  </w:r>
                  <w:r>
                    <w:rPr>
                      <w:rFonts w:cs="Arial"/>
                      <w:lang w:eastAsia="en-US"/>
                    </w:rPr>
                    <w:t>5</w:t>
                  </w:r>
                </w:p>
              </w:tc>
              <w:tc>
                <w:tcPr>
                  <w:tcW w:w="1130" w:type="dxa"/>
                  <w:tcBorders>
                    <w:top w:val="single" w:sz="4" w:space="0" w:color="auto"/>
                    <w:left w:val="single" w:sz="4" w:space="0" w:color="auto"/>
                    <w:bottom w:val="single" w:sz="4" w:space="0" w:color="auto"/>
                    <w:right w:val="single" w:sz="4" w:space="0" w:color="auto"/>
                  </w:tcBorders>
                </w:tcPr>
                <w:p w14:paraId="08413A02" w14:textId="77777777" w:rsidR="009E3E6F" w:rsidRDefault="009E3E6F" w:rsidP="009E3E6F">
                  <w:pPr>
                    <w:spacing w:after="0"/>
                    <w:rPr>
                      <w:rFonts w:cs="Arial"/>
                      <w:lang w:eastAsia="en-US"/>
                    </w:rPr>
                  </w:pPr>
                  <w:r>
                    <w:rPr>
                      <w:rFonts w:cs="Arial"/>
                      <w:lang w:eastAsia="en-US"/>
                    </w:rPr>
                    <w:t>0.9</w:t>
                  </w:r>
                </w:p>
              </w:tc>
              <w:tc>
                <w:tcPr>
                  <w:tcW w:w="1472" w:type="dxa"/>
                  <w:tcBorders>
                    <w:top w:val="single" w:sz="4" w:space="0" w:color="auto"/>
                    <w:left w:val="single" w:sz="4" w:space="0" w:color="auto"/>
                    <w:bottom w:val="single" w:sz="4" w:space="0" w:color="auto"/>
                    <w:right w:val="single" w:sz="4" w:space="0" w:color="auto"/>
                  </w:tcBorders>
                </w:tcPr>
                <w:p w14:paraId="495B0637" w14:textId="77777777" w:rsidR="009E3E6F" w:rsidRPr="00BF25F2" w:rsidRDefault="009E3E6F" w:rsidP="009E3E6F">
                  <w:pPr>
                    <w:spacing w:after="0"/>
                    <w:rPr>
                      <w:rFonts w:cs="Arial"/>
                      <w:lang w:eastAsia="en-US"/>
                    </w:rPr>
                  </w:pPr>
                  <w:r>
                    <w:rPr>
                      <w:rFonts w:cs="Arial"/>
                      <w:lang w:eastAsia="en-US"/>
                    </w:rPr>
                    <w:t>3.6</w:t>
                  </w:r>
                </w:p>
              </w:tc>
              <w:tc>
                <w:tcPr>
                  <w:tcW w:w="1275" w:type="dxa"/>
                  <w:tcBorders>
                    <w:top w:val="single" w:sz="4" w:space="0" w:color="auto"/>
                    <w:left w:val="single" w:sz="4" w:space="0" w:color="auto"/>
                    <w:bottom w:val="single" w:sz="4" w:space="0" w:color="auto"/>
                    <w:right w:val="single" w:sz="4" w:space="0" w:color="auto"/>
                  </w:tcBorders>
                </w:tcPr>
                <w:p w14:paraId="440A3B41" w14:textId="77777777" w:rsidR="009E3E6F" w:rsidRPr="00BF25F2" w:rsidRDefault="009E3E6F" w:rsidP="009E3E6F">
                  <w:pPr>
                    <w:spacing w:after="0"/>
                    <w:rPr>
                      <w:rFonts w:cs="Arial"/>
                      <w:lang w:eastAsia="en-US"/>
                    </w:rPr>
                  </w:pPr>
                  <w:r w:rsidRPr="00BF25F2">
                    <w:rPr>
                      <w:rFonts w:cs="Arial"/>
                      <w:lang w:eastAsia="en-US"/>
                    </w:rPr>
                    <w:t>2.</w:t>
                  </w:r>
                  <w:r>
                    <w:rPr>
                      <w:rFonts w:cs="Arial"/>
                      <w:lang w:eastAsia="en-US"/>
                    </w:rPr>
                    <w:t>8</w:t>
                  </w:r>
                </w:p>
              </w:tc>
              <w:tc>
                <w:tcPr>
                  <w:tcW w:w="1083" w:type="dxa"/>
                  <w:tcBorders>
                    <w:top w:val="single" w:sz="4" w:space="0" w:color="auto"/>
                    <w:left w:val="single" w:sz="4" w:space="0" w:color="auto"/>
                    <w:bottom w:val="single" w:sz="4" w:space="0" w:color="auto"/>
                    <w:right w:val="single" w:sz="4" w:space="0" w:color="auto"/>
                  </w:tcBorders>
                </w:tcPr>
                <w:p w14:paraId="57900D32" w14:textId="77777777" w:rsidR="009E3E6F" w:rsidRPr="00BF25F2" w:rsidRDefault="009E3E6F" w:rsidP="009E3E6F">
                  <w:pPr>
                    <w:spacing w:after="0"/>
                    <w:rPr>
                      <w:rFonts w:cs="Arial"/>
                      <w:lang w:eastAsia="en-US"/>
                    </w:rPr>
                  </w:pPr>
                  <w:r>
                    <w:rPr>
                      <w:rFonts w:cs="Arial"/>
                      <w:lang w:eastAsia="en-US"/>
                    </w:rPr>
                    <w:t>0.8</w:t>
                  </w:r>
                </w:p>
              </w:tc>
            </w:tr>
          </w:tbl>
          <w:p w14:paraId="34B75DC9" w14:textId="77777777" w:rsidR="007A3629" w:rsidRPr="007A3629" w:rsidRDefault="007A3629" w:rsidP="007A3629">
            <w:pPr>
              <w:rPr>
                <w:i/>
                <w:iCs/>
                <w:color w:val="000000"/>
              </w:rPr>
            </w:pPr>
          </w:p>
          <w:p w14:paraId="7995AED3" w14:textId="77777777" w:rsidR="007A3629" w:rsidRPr="00785265" w:rsidRDefault="007A3629" w:rsidP="007A3629">
            <w:pPr>
              <w:rPr>
                <w:b/>
                <w:bCs/>
                <w:color w:val="000000"/>
              </w:rPr>
            </w:pPr>
            <w:r w:rsidRPr="00785265">
              <w:rPr>
                <w:b/>
                <w:bCs/>
                <w:color w:val="000000"/>
              </w:rPr>
              <w:t xml:space="preserve">Teaching and Learning </w:t>
            </w:r>
          </w:p>
          <w:p w14:paraId="01071CA6" w14:textId="36DF02AE" w:rsidR="00824E5A" w:rsidRPr="00824E5A" w:rsidRDefault="00824E5A" w:rsidP="00824E5A">
            <w:pPr>
              <w:rPr>
                <w:color w:val="000000"/>
              </w:rPr>
            </w:pPr>
            <w:r w:rsidRPr="00824E5A">
              <w:rPr>
                <w:color w:val="000000"/>
              </w:rPr>
              <w:t>In 2023/2024 the GAA Curriculum, Assessment, and Teaching &amp; Learning team focused on further review of the GAA curriculum, to ensure that subjects meet or exceed the requirements of the National Curriculum and took account of the findings of the Ofsted subject review series. Curriculum sequencing and interleaving formed part of the training provided to ensure that teachers were able to focus on the key knowledge and skills required to support progress for all learners. The curriculum provision was quality assured by the Trust through bespoke support and ‘GAET collaborative reviews.’</w:t>
            </w:r>
          </w:p>
          <w:p w14:paraId="7F84FA93" w14:textId="6FBD55C7" w:rsidR="00824E5A" w:rsidRPr="00824E5A" w:rsidRDefault="00824E5A" w:rsidP="00824E5A">
            <w:pPr>
              <w:rPr>
                <w:color w:val="000000"/>
              </w:rPr>
            </w:pPr>
            <w:r w:rsidRPr="00824E5A">
              <w:rPr>
                <w:color w:val="000000"/>
              </w:rPr>
              <w:t xml:space="preserve">As part of the curriculum refinement process, </w:t>
            </w:r>
            <w:r w:rsidR="003E67C2">
              <w:rPr>
                <w:color w:val="000000"/>
              </w:rPr>
              <w:t xml:space="preserve">Heads of Subject </w:t>
            </w:r>
            <w:r w:rsidRPr="00824E5A">
              <w:rPr>
                <w:color w:val="000000"/>
              </w:rPr>
              <w:t xml:space="preserve">were given training/refreshers regarding the components of knowledge and the effective pedagogical practices that will assist in the acquisition of knowledge. Whist we wanted </w:t>
            </w:r>
            <w:r w:rsidRPr="00824E5A">
              <w:rPr>
                <w:color w:val="000000"/>
              </w:rPr>
              <w:lastRenderedPageBreak/>
              <w:t xml:space="preserve">staff to understand metacognition to empower them to intelligently design their curriculum and become reflective practitioners, our aim was to embed a deeper understanding of subject specific curriculum implementation which </w:t>
            </w:r>
            <w:r w:rsidR="003E67C2">
              <w:rPr>
                <w:color w:val="000000"/>
              </w:rPr>
              <w:t>Heads of Subject</w:t>
            </w:r>
            <w:r w:rsidRPr="00824E5A">
              <w:rPr>
                <w:color w:val="000000"/>
              </w:rPr>
              <w:t xml:space="preserve"> continue to drive across the department areas.</w:t>
            </w:r>
          </w:p>
          <w:p w14:paraId="7A39E417" w14:textId="4279A9F0" w:rsidR="00824E5A" w:rsidRPr="00824E5A" w:rsidRDefault="00824E5A" w:rsidP="00824E5A">
            <w:pPr>
              <w:rPr>
                <w:color w:val="000000"/>
              </w:rPr>
            </w:pPr>
            <w:r w:rsidRPr="00824E5A">
              <w:rPr>
                <w:color w:val="000000"/>
              </w:rPr>
              <w:t xml:space="preserve">The focus for this academic year, is utilising our Professional Collaboration Forums, where </w:t>
            </w:r>
            <w:r w:rsidR="003E67C2">
              <w:rPr>
                <w:color w:val="000000"/>
              </w:rPr>
              <w:t>Heads of Subject</w:t>
            </w:r>
            <w:r w:rsidRPr="00824E5A">
              <w:rPr>
                <w:color w:val="000000"/>
              </w:rPr>
              <w:t xml:space="preserve"> ‘look back’ at the previous two weeks’ learning and discuss impact with their departments as well as refinements for future implementation, and then ‘look forward’ to discuss curriculum adaptations for the next fortnight in order to ensure equity of provision for all sub-groups. To date, the impact of our PCF meetings can be seen across subject areas as there is consistent curriculum implementation evidenced via learning walks and book looks.</w:t>
            </w:r>
          </w:p>
          <w:p w14:paraId="315F92AA" w14:textId="622D08F9" w:rsidR="00824E5A" w:rsidRPr="00824E5A" w:rsidRDefault="00824E5A" w:rsidP="00824E5A">
            <w:pPr>
              <w:rPr>
                <w:color w:val="000000"/>
              </w:rPr>
            </w:pPr>
            <w:r w:rsidRPr="00824E5A">
              <w:rPr>
                <w:color w:val="000000"/>
              </w:rPr>
              <w:t xml:space="preserve">In-house CPD was underpinned by the SSATs Embedding Formative Assessment programme – the initial focus was on the difference between learning intentions and learning outcomes, with deliberate practice sessions focusing on effective pedagogical techniques for sharing the learning journey with pupils to ensure all pupils were able to articulate and understand the ‘bigger picture’. To develop the role of the teacher as a reflective practitioner, CPD also focused on cold calling, whole class feedback and effective questioning to embed and consolidate learning. </w:t>
            </w:r>
          </w:p>
          <w:p w14:paraId="6A3B1C7C" w14:textId="209173CE" w:rsidR="00824E5A" w:rsidRPr="00824E5A" w:rsidRDefault="00824E5A" w:rsidP="00824E5A">
            <w:pPr>
              <w:rPr>
                <w:color w:val="000000"/>
              </w:rPr>
            </w:pPr>
            <w:r w:rsidRPr="00824E5A">
              <w:rPr>
                <w:color w:val="000000"/>
              </w:rPr>
              <w:t xml:space="preserve">Through triangulation of learning walks, book looks and data analysis, a more consistent approach has been evidenced across the Academy. All staff utilise cold call, mini whiteboards for whole class feedback, do now/retrieve now to secure prior learning, strong starts for routines and the foundations of successful I/we/you to model and scaffold students’ learning. </w:t>
            </w:r>
          </w:p>
          <w:p w14:paraId="113C1A0B" w14:textId="1B294272" w:rsidR="00824E5A" w:rsidRPr="00824E5A" w:rsidRDefault="00824E5A" w:rsidP="00824E5A">
            <w:pPr>
              <w:rPr>
                <w:color w:val="000000"/>
              </w:rPr>
            </w:pPr>
            <w:r w:rsidRPr="00824E5A">
              <w:rPr>
                <w:color w:val="000000"/>
              </w:rPr>
              <w:t>Additionally last year, CPD was provided focused on the EEF Five Strategies to support high-quality teaching for pupils with SEND. This training provided the foundations for ensuring adaptations bespoke to the needs of the class and the individual to further support in narrowing the gap between sub-groups.</w:t>
            </w:r>
          </w:p>
          <w:p w14:paraId="5F8BA001" w14:textId="0C6B2F14" w:rsidR="00824E5A" w:rsidRPr="00824E5A" w:rsidRDefault="00824E5A" w:rsidP="00824E5A">
            <w:pPr>
              <w:rPr>
                <w:color w:val="000000"/>
              </w:rPr>
            </w:pPr>
            <w:r w:rsidRPr="00824E5A">
              <w:rPr>
                <w:color w:val="000000"/>
              </w:rPr>
              <w:t>External CPD opportunities included a range of NPQ courses, working in practitioner networks both within the Trust and the wider borough, SSAT Leadership programmes and mental health training. All these external programmes were selected for their evidence led approaches and staff have been expected to share effective practices within both their department areas and the wider school.</w:t>
            </w:r>
          </w:p>
          <w:p w14:paraId="598ADA29" w14:textId="535170C7" w:rsidR="00824E5A" w:rsidRPr="00824E5A" w:rsidRDefault="00824E5A" w:rsidP="00824E5A">
            <w:pPr>
              <w:rPr>
                <w:color w:val="000000"/>
              </w:rPr>
            </w:pPr>
            <w:r w:rsidRPr="00824E5A">
              <w:rPr>
                <w:color w:val="000000"/>
              </w:rPr>
              <w:t xml:space="preserve">This academic year, </w:t>
            </w:r>
            <w:r w:rsidR="003E67C2">
              <w:rPr>
                <w:color w:val="000000"/>
              </w:rPr>
              <w:t>Heads of Subject</w:t>
            </w:r>
            <w:r w:rsidRPr="00824E5A">
              <w:rPr>
                <w:color w:val="000000"/>
              </w:rPr>
              <w:t xml:space="preserve"> will continue to refine and develop curriculum adaptations via the PCF look back/forward meetings. These meetings provide the forum for bespoke, subject specific conversations regarding in-class quality first education that develops long term success for students. The SSATs Embedding Formative Assessment programme is in its second year, with the focus upon embedding the strategies developed across last academic year.</w:t>
            </w:r>
          </w:p>
          <w:p w14:paraId="3C1BD28D" w14:textId="5601C122" w:rsidR="00824E5A" w:rsidRPr="00824E5A" w:rsidRDefault="00824E5A" w:rsidP="00824E5A">
            <w:pPr>
              <w:rPr>
                <w:color w:val="000000"/>
              </w:rPr>
            </w:pPr>
            <w:r w:rsidRPr="00824E5A">
              <w:rPr>
                <w:color w:val="000000"/>
              </w:rPr>
              <w:lastRenderedPageBreak/>
              <w:t xml:space="preserve">Further internal CPD this year will focus on the refinement of I/we/you – specifically the ‘we’ phase to ensure modelling and scaffolding supports learning but is also removed in a timely manner to ensure students are able to demonstrate resilience in their independent work. Alongside this, this year we will be building on the success of our RDL programme and training staff on the effective utilisation of oracy as a bridge to high quality extended writing. </w:t>
            </w:r>
          </w:p>
          <w:p w14:paraId="6681920A" w14:textId="27F94FA8" w:rsidR="007A3629" w:rsidRDefault="00824E5A" w:rsidP="00824E5A">
            <w:pPr>
              <w:rPr>
                <w:color w:val="000000"/>
              </w:rPr>
            </w:pPr>
            <w:r w:rsidRPr="00824E5A">
              <w:rPr>
                <w:color w:val="000000"/>
              </w:rPr>
              <w:t xml:space="preserve">The impact of this work has been evidenced via our </w:t>
            </w:r>
            <w:r w:rsidR="00E42C34">
              <w:rPr>
                <w:color w:val="000000"/>
              </w:rPr>
              <w:t>incremental improvements in outcomes</w:t>
            </w:r>
            <w:r w:rsidR="009D79B6">
              <w:rPr>
                <w:color w:val="000000"/>
              </w:rPr>
              <w:t>. As our curriculum adaptations and quality first education become further embedded the</w:t>
            </w:r>
            <w:r w:rsidR="00D7146B">
              <w:rPr>
                <w:color w:val="000000"/>
              </w:rPr>
              <w:t xml:space="preserve"> </w:t>
            </w:r>
            <w:r w:rsidR="00133F40">
              <w:rPr>
                <w:color w:val="000000"/>
              </w:rPr>
              <w:t>long-term</w:t>
            </w:r>
            <w:r w:rsidR="00D7146B">
              <w:rPr>
                <w:color w:val="000000"/>
              </w:rPr>
              <w:t xml:space="preserve"> sustainable improvement</w:t>
            </w:r>
            <w:r w:rsidR="00B4240C">
              <w:rPr>
                <w:color w:val="000000"/>
              </w:rPr>
              <w:t>s</w:t>
            </w:r>
            <w:r w:rsidR="00D7146B">
              <w:rPr>
                <w:color w:val="000000"/>
              </w:rPr>
              <w:t xml:space="preserve"> in outcomes will become increasingly </w:t>
            </w:r>
            <w:r w:rsidR="00B4240C">
              <w:rPr>
                <w:color w:val="000000"/>
              </w:rPr>
              <w:t>tangible.</w:t>
            </w:r>
          </w:p>
          <w:tbl>
            <w:tblPr>
              <w:tblW w:w="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276"/>
              <w:gridCol w:w="1134"/>
              <w:gridCol w:w="992"/>
            </w:tblGrid>
            <w:tr w:rsidR="00461268" w14:paraId="25CE199E" w14:textId="77777777" w:rsidTr="000C3E2E">
              <w:trPr>
                <w:trHeight w:val="1047"/>
                <w:jc w:val="center"/>
              </w:trPr>
              <w:tc>
                <w:tcPr>
                  <w:tcW w:w="2143" w:type="dxa"/>
                  <w:shd w:val="clear" w:color="auto" w:fill="auto"/>
                  <w:noWrap/>
                  <w:vAlign w:val="bottom"/>
                  <w:hideMark/>
                </w:tcPr>
                <w:p w14:paraId="67F03EF5" w14:textId="77777777" w:rsidR="00461268" w:rsidRPr="000C3E2E" w:rsidRDefault="00461268" w:rsidP="00461268">
                  <w:pPr>
                    <w:suppressAutoHyphens w:val="0"/>
                    <w:spacing w:after="0" w:line="240" w:lineRule="auto"/>
                    <w:jc w:val="center"/>
                    <w:rPr>
                      <w:rFonts w:cs="Arial"/>
                      <w:b/>
                      <w:bCs/>
                      <w:color w:val="000000"/>
                    </w:rPr>
                  </w:pPr>
                  <w:r w:rsidRPr="000C3E2E">
                    <w:rPr>
                      <w:rFonts w:cs="Arial"/>
                      <w:b/>
                      <w:bCs/>
                      <w:color w:val="000000"/>
                    </w:rPr>
                    <w:t>Year</w:t>
                  </w:r>
                </w:p>
              </w:tc>
              <w:tc>
                <w:tcPr>
                  <w:tcW w:w="1276" w:type="dxa"/>
                  <w:shd w:val="clear" w:color="auto" w:fill="auto"/>
                  <w:textDirection w:val="btLr"/>
                  <w:vAlign w:val="center"/>
                  <w:hideMark/>
                </w:tcPr>
                <w:p w14:paraId="06AC2708" w14:textId="77777777" w:rsidR="00461268" w:rsidRPr="000C3E2E" w:rsidRDefault="00461268" w:rsidP="00461268">
                  <w:pPr>
                    <w:suppressAutoHyphens w:val="0"/>
                    <w:spacing w:after="0" w:line="240" w:lineRule="auto"/>
                    <w:jc w:val="center"/>
                    <w:rPr>
                      <w:rFonts w:cs="Arial"/>
                      <w:b/>
                      <w:bCs/>
                      <w:color w:val="232323"/>
                    </w:rPr>
                  </w:pPr>
                  <w:r w:rsidRPr="000C3E2E">
                    <w:rPr>
                      <w:rFonts w:cs="Arial"/>
                      <w:b/>
                      <w:bCs/>
                      <w:color w:val="232323"/>
                    </w:rPr>
                    <w:t>A8</w:t>
                  </w:r>
                </w:p>
              </w:tc>
              <w:tc>
                <w:tcPr>
                  <w:tcW w:w="1134" w:type="dxa"/>
                  <w:shd w:val="clear" w:color="auto" w:fill="auto"/>
                  <w:textDirection w:val="btLr"/>
                  <w:vAlign w:val="center"/>
                  <w:hideMark/>
                </w:tcPr>
                <w:p w14:paraId="15621236" w14:textId="02CA789D" w:rsidR="00461268" w:rsidRPr="000C3E2E" w:rsidRDefault="00461268" w:rsidP="00461268">
                  <w:pPr>
                    <w:suppressAutoHyphens w:val="0"/>
                    <w:spacing w:after="0" w:line="240" w:lineRule="auto"/>
                    <w:jc w:val="center"/>
                    <w:rPr>
                      <w:rFonts w:cs="Arial"/>
                      <w:b/>
                      <w:bCs/>
                      <w:color w:val="232323"/>
                    </w:rPr>
                  </w:pPr>
                  <w:r w:rsidRPr="000C3E2E">
                    <w:rPr>
                      <w:rFonts w:cs="Arial"/>
                      <w:b/>
                      <w:bCs/>
                      <w:color w:val="232323"/>
                    </w:rPr>
                    <w:t>A8 non-PP</w:t>
                  </w:r>
                </w:p>
              </w:tc>
              <w:tc>
                <w:tcPr>
                  <w:tcW w:w="992" w:type="dxa"/>
                  <w:shd w:val="clear" w:color="auto" w:fill="auto"/>
                  <w:textDirection w:val="btLr"/>
                  <w:vAlign w:val="center"/>
                  <w:hideMark/>
                </w:tcPr>
                <w:p w14:paraId="6E614CD9" w14:textId="77777777" w:rsidR="00461268" w:rsidRPr="000C3E2E" w:rsidRDefault="00461268" w:rsidP="00461268">
                  <w:pPr>
                    <w:suppressAutoHyphens w:val="0"/>
                    <w:spacing w:after="0" w:line="240" w:lineRule="auto"/>
                    <w:jc w:val="center"/>
                    <w:rPr>
                      <w:rFonts w:cs="Arial"/>
                      <w:b/>
                      <w:bCs/>
                      <w:color w:val="232323"/>
                    </w:rPr>
                  </w:pPr>
                  <w:r w:rsidRPr="000C3E2E">
                    <w:rPr>
                      <w:rFonts w:cs="Arial"/>
                      <w:b/>
                      <w:bCs/>
                      <w:color w:val="232323"/>
                    </w:rPr>
                    <w:t>A8 PP</w:t>
                  </w:r>
                </w:p>
              </w:tc>
            </w:tr>
            <w:tr w:rsidR="00461268" w14:paraId="57921A87" w14:textId="77777777" w:rsidTr="000C3E2E">
              <w:trPr>
                <w:trHeight w:val="468"/>
                <w:jc w:val="center"/>
              </w:trPr>
              <w:tc>
                <w:tcPr>
                  <w:tcW w:w="2143" w:type="dxa"/>
                  <w:shd w:val="clear" w:color="auto" w:fill="auto"/>
                  <w:vAlign w:val="center"/>
                  <w:hideMark/>
                </w:tcPr>
                <w:p w14:paraId="6EB994BE" w14:textId="77777777" w:rsidR="00461268" w:rsidRPr="000C3E2E" w:rsidRDefault="00461268" w:rsidP="00461268">
                  <w:pPr>
                    <w:suppressAutoHyphens w:val="0"/>
                    <w:spacing w:after="0" w:line="240" w:lineRule="auto"/>
                    <w:jc w:val="center"/>
                    <w:rPr>
                      <w:rFonts w:cs="Arial"/>
                      <w:color w:val="000000"/>
                    </w:rPr>
                  </w:pPr>
                  <w:r w:rsidRPr="000C3E2E">
                    <w:rPr>
                      <w:rFonts w:cs="Arial"/>
                      <w:color w:val="000000"/>
                    </w:rPr>
                    <w:t xml:space="preserve">Class of 2023 </w:t>
                  </w:r>
                </w:p>
              </w:tc>
              <w:tc>
                <w:tcPr>
                  <w:tcW w:w="1276" w:type="dxa"/>
                  <w:shd w:val="clear" w:color="auto" w:fill="auto"/>
                  <w:noWrap/>
                  <w:vAlign w:val="center"/>
                  <w:hideMark/>
                </w:tcPr>
                <w:p w14:paraId="608C2EC3" w14:textId="77777777" w:rsidR="00461268" w:rsidRPr="000C3E2E" w:rsidRDefault="00461268" w:rsidP="00461268">
                  <w:pPr>
                    <w:suppressAutoHyphens w:val="0"/>
                    <w:spacing w:after="0" w:line="240" w:lineRule="auto"/>
                    <w:jc w:val="center"/>
                    <w:rPr>
                      <w:rFonts w:cs="Arial"/>
                      <w:color w:val="000000"/>
                    </w:rPr>
                  </w:pPr>
                  <w:r w:rsidRPr="000C3E2E">
                    <w:rPr>
                      <w:rFonts w:cs="Arial"/>
                      <w:color w:val="000000"/>
                    </w:rPr>
                    <w:t>36.22</w:t>
                  </w:r>
                </w:p>
              </w:tc>
              <w:tc>
                <w:tcPr>
                  <w:tcW w:w="1134" w:type="dxa"/>
                  <w:shd w:val="clear" w:color="auto" w:fill="auto"/>
                  <w:noWrap/>
                  <w:vAlign w:val="center"/>
                  <w:hideMark/>
                </w:tcPr>
                <w:p w14:paraId="7CEAE4D9" w14:textId="77777777" w:rsidR="00461268" w:rsidRPr="000C3E2E" w:rsidRDefault="00461268" w:rsidP="00461268">
                  <w:pPr>
                    <w:suppressAutoHyphens w:val="0"/>
                    <w:spacing w:after="0" w:line="240" w:lineRule="auto"/>
                    <w:jc w:val="center"/>
                    <w:rPr>
                      <w:rFonts w:cs="Arial"/>
                      <w:color w:val="000000"/>
                    </w:rPr>
                  </w:pPr>
                  <w:r w:rsidRPr="000C3E2E">
                    <w:rPr>
                      <w:rFonts w:cs="Arial"/>
                      <w:color w:val="000000"/>
                    </w:rPr>
                    <w:t>40.58</w:t>
                  </w:r>
                </w:p>
              </w:tc>
              <w:tc>
                <w:tcPr>
                  <w:tcW w:w="992" w:type="dxa"/>
                  <w:shd w:val="clear" w:color="auto" w:fill="auto"/>
                  <w:noWrap/>
                  <w:vAlign w:val="center"/>
                  <w:hideMark/>
                </w:tcPr>
                <w:p w14:paraId="5A5A5C41" w14:textId="77777777" w:rsidR="00461268" w:rsidRPr="000C3E2E" w:rsidRDefault="00461268" w:rsidP="00461268">
                  <w:pPr>
                    <w:suppressAutoHyphens w:val="0"/>
                    <w:spacing w:after="0" w:line="240" w:lineRule="auto"/>
                    <w:jc w:val="center"/>
                    <w:rPr>
                      <w:rFonts w:cs="Arial"/>
                      <w:color w:val="000000"/>
                    </w:rPr>
                  </w:pPr>
                  <w:r w:rsidRPr="000C3E2E">
                    <w:rPr>
                      <w:rFonts w:cs="Arial"/>
                      <w:color w:val="000000"/>
                    </w:rPr>
                    <w:t>29.07</w:t>
                  </w:r>
                </w:p>
              </w:tc>
            </w:tr>
            <w:tr w:rsidR="00461268" w14:paraId="11F2D695" w14:textId="77777777" w:rsidTr="000C3E2E">
              <w:trPr>
                <w:trHeight w:val="576"/>
                <w:jc w:val="center"/>
              </w:trPr>
              <w:tc>
                <w:tcPr>
                  <w:tcW w:w="2143" w:type="dxa"/>
                  <w:shd w:val="clear" w:color="auto" w:fill="auto"/>
                  <w:vAlign w:val="bottom"/>
                  <w:hideMark/>
                </w:tcPr>
                <w:p w14:paraId="1B10A2FC" w14:textId="77777777" w:rsidR="00461268" w:rsidRPr="000C3E2E" w:rsidRDefault="00461268" w:rsidP="00461268">
                  <w:pPr>
                    <w:suppressAutoHyphens w:val="0"/>
                    <w:spacing w:after="0" w:line="240" w:lineRule="auto"/>
                    <w:jc w:val="center"/>
                    <w:rPr>
                      <w:rFonts w:cs="Arial"/>
                      <w:b/>
                      <w:bCs/>
                      <w:color w:val="000000"/>
                    </w:rPr>
                  </w:pPr>
                  <w:r w:rsidRPr="000C3E2E">
                    <w:rPr>
                      <w:rFonts w:cs="Arial"/>
                      <w:b/>
                      <w:bCs/>
                      <w:color w:val="000000"/>
                    </w:rPr>
                    <w:t xml:space="preserve">Class of 2024 </w:t>
                  </w:r>
                </w:p>
              </w:tc>
              <w:tc>
                <w:tcPr>
                  <w:tcW w:w="1276" w:type="dxa"/>
                  <w:shd w:val="clear" w:color="auto" w:fill="auto"/>
                  <w:noWrap/>
                  <w:vAlign w:val="bottom"/>
                  <w:hideMark/>
                </w:tcPr>
                <w:p w14:paraId="68494D46" w14:textId="77777777" w:rsidR="00461268" w:rsidRPr="000C3E2E" w:rsidRDefault="00461268" w:rsidP="00461268">
                  <w:pPr>
                    <w:suppressAutoHyphens w:val="0"/>
                    <w:spacing w:after="0" w:line="240" w:lineRule="auto"/>
                    <w:jc w:val="center"/>
                    <w:rPr>
                      <w:rFonts w:cs="Arial"/>
                      <w:color w:val="000000"/>
                    </w:rPr>
                  </w:pPr>
                  <w:r w:rsidRPr="000C3E2E">
                    <w:rPr>
                      <w:rFonts w:cs="Arial"/>
                      <w:color w:val="000000"/>
                    </w:rPr>
                    <w:t>36.08</w:t>
                  </w:r>
                </w:p>
              </w:tc>
              <w:tc>
                <w:tcPr>
                  <w:tcW w:w="1134" w:type="dxa"/>
                  <w:shd w:val="clear" w:color="auto" w:fill="auto"/>
                  <w:noWrap/>
                  <w:vAlign w:val="bottom"/>
                  <w:hideMark/>
                </w:tcPr>
                <w:p w14:paraId="5F266B51" w14:textId="16D4AF2D" w:rsidR="001068A4" w:rsidRPr="000C3E2E" w:rsidRDefault="00461268" w:rsidP="001068A4">
                  <w:pPr>
                    <w:suppressAutoHyphens w:val="0"/>
                    <w:spacing w:after="0" w:line="240" w:lineRule="auto"/>
                    <w:jc w:val="center"/>
                    <w:rPr>
                      <w:rFonts w:cs="Arial"/>
                      <w:color w:val="000000"/>
                    </w:rPr>
                  </w:pPr>
                  <w:r w:rsidRPr="000C3E2E">
                    <w:rPr>
                      <w:rFonts w:cs="Arial"/>
                      <w:color w:val="000000"/>
                    </w:rPr>
                    <w:t>4</w:t>
                  </w:r>
                  <w:r w:rsidR="001068A4" w:rsidRPr="000C3E2E">
                    <w:rPr>
                      <w:rFonts w:cs="Arial"/>
                      <w:color w:val="000000"/>
                    </w:rPr>
                    <w:t>0.09</w:t>
                  </w:r>
                </w:p>
              </w:tc>
              <w:tc>
                <w:tcPr>
                  <w:tcW w:w="992" w:type="dxa"/>
                  <w:shd w:val="clear" w:color="auto" w:fill="auto"/>
                  <w:noWrap/>
                  <w:vAlign w:val="bottom"/>
                  <w:hideMark/>
                </w:tcPr>
                <w:p w14:paraId="5FEFEA0D" w14:textId="7539816A" w:rsidR="00461268" w:rsidRPr="000C3E2E" w:rsidRDefault="001068A4" w:rsidP="00461268">
                  <w:pPr>
                    <w:suppressAutoHyphens w:val="0"/>
                    <w:spacing w:after="0" w:line="240" w:lineRule="auto"/>
                    <w:jc w:val="center"/>
                    <w:rPr>
                      <w:rFonts w:cs="Arial"/>
                      <w:color w:val="000000"/>
                    </w:rPr>
                  </w:pPr>
                  <w:r w:rsidRPr="000C3E2E">
                    <w:rPr>
                      <w:rFonts w:cs="Arial"/>
                      <w:color w:val="000000"/>
                    </w:rPr>
                    <w:t>31.32</w:t>
                  </w:r>
                </w:p>
              </w:tc>
            </w:tr>
          </w:tbl>
          <w:p w14:paraId="4891D79B" w14:textId="77777777" w:rsidR="00461268" w:rsidRDefault="00461268" w:rsidP="00824E5A">
            <w:pPr>
              <w:rPr>
                <w:color w:val="000000"/>
              </w:rPr>
            </w:pPr>
          </w:p>
          <w:p w14:paraId="13CC7C80" w14:textId="77777777" w:rsidR="007A3629" w:rsidRPr="00785265" w:rsidRDefault="007A3629" w:rsidP="007A3629">
            <w:pPr>
              <w:rPr>
                <w:b/>
                <w:bCs/>
                <w:color w:val="000000"/>
              </w:rPr>
            </w:pPr>
            <w:r w:rsidRPr="00785265">
              <w:rPr>
                <w:b/>
                <w:bCs/>
                <w:color w:val="000000"/>
              </w:rPr>
              <w:t>Tuition</w:t>
            </w:r>
          </w:p>
          <w:p w14:paraId="3D942A03" w14:textId="5FE0AE82" w:rsidR="00830C23" w:rsidRPr="00830C23" w:rsidRDefault="0090534F" w:rsidP="00830C23">
            <w:pPr>
              <w:shd w:val="clear" w:color="auto" w:fill="FFFFFF"/>
              <w:suppressAutoHyphens w:val="0"/>
              <w:autoSpaceDN/>
              <w:spacing w:after="0" w:line="240" w:lineRule="auto"/>
              <w:textAlignment w:val="baseline"/>
              <w:rPr>
                <w:rFonts w:cs="Arial"/>
                <w:color w:val="000000"/>
              </w:rPr>
            </w:pPr>
            <w:r w:rsidRPr="001A7034">
              <w:rPr>
                <w:color w:val="000000"/>
              </w:rPr>
              <w:t>In 2023/24 our tuition programmes continued to operate</w:t>
            </w:r>
            <w:r w:rsidRPr="00830C23">
              <w:rPr>
                <w:rFonts w:cs="Arial"/>
                <w:color w:val="000000"/>
              </w:rPr>
              <w:t xml:space="preserve"> </w:t>
            </w:r>
            <w:r w:rsidR="00830C23" w:rsidRPr="00830C23">
              <w:rPr>
                <w:rFonts w:cs="Arial"/>
                <w:color w:val="000000"/>
              </w:rPr>
              <w:t>focus</w:t>
            </w:r>
            <w:r>
              <w:rPr>
                <w:rFonts w:cs="Arial"/>
                <w:color w:val="000000"/>
              </w:rPr>
              <w:t>ing</w:t>
            </w:r>
            <w:r w:rsidR="00830C23" w:rsidRPr="00830C23">
              <w:rPr>
                <w:rFonts w:cs="Arial"/>
                <w:color w:val="000000"/>
              </w:rPr>
              <w:t xml:space="preserve"> on 5 main areas. English, maths, Ebacc and Year 11. Over 2857 hours was delivered to 352 different students of which 147 were Pupil Premium students. 86 students were SEN support or EHCP.</w:t>
            </w:r>
          </w:p>
          <w:p w14:paraId="781C78E6" w14:textId="77777777" w:rsidR="00830C23" w:rsidRPr="00830C23" w:rsidRDefault="00830C23" w:rsidP="00830C23">
            <w:pPr>
              <w:shd w:val="clear" w:color="auto" w:fill="FFFFFF"/>
              <w:suppressAutoHyphens w:val="0"/>
              <w:autoSpaceDN/>
              <w:spacing w:after="0" w:line="240" w:lineRule="auto"/>
              <w:textAlignment w:val="baseline"/>
              <w:rPr>
                <w:rFonts w:cs="Arial"/>
                <w:color w:val="000000"/>
              </w:rPr>
            </w:pPr>
          </w:p>
          <w:p w14:paraId="7756F827" w14:textId="77777777" w:rsidR="00830C23" w:rsidRPr="00830C23" w:rsidRDefault="00830C23" w:rsidP="00830C23">
            <w:pPr>
              <w:shd w:val="clear" w:color="auto" w:fill="FFFFFF"/>
              <w:suppressAutoHyphens w:val="0"/>
              <w:autoSpaceDN/>
              <w:spacing w:after="0" w:line="240" w:lineRule="auto"/>
              <w:textAlignment w:val="baseline"/>
              <w:rPr>
                <w:rFonts w:cs="Arial"/>
                <w:color w:val="000000"/>
              </w:rPr>
            </w:pPr>
            <w:r w:rsidRPr="00830C23">
              <w:rPr>
                <w:rFonts w:cs="Arial"/>
                <w:color w:val="000000"/>
              </w:rPr>
              <w:t>Tutoring was aimed at those most in need, so not all students received the same amount of tutoring. On average the tutored students in Year 11 made at least ½ grade progress over the course of the year in core subjects.</w:t>
            </w:r>
          </w:p>
          <w:p w14:paraId="5E7ADFE2" w14:textId="77777777" w:rsidR="00830C23" w:rsidRPr="00830C23" w:rsidRDefault="00830C23" w:rsidP="00830C23">
            <w:pPr>
              <w:shd w:val="clear" w:color="auto" w:fill="FFFFFF"/>
              <w:suppressAutoHyphens w:val="0"/>
              <w:autoSpaceDN/>
              <w:spacing w:after="0" w:line="240" w:lineRule="auto"/>
              <w:textAlignment w:val="baseline"/>
              <w:rPr>
                <w:rFonts w:cs="Arial"/>
                <w:color w:val="000000"/>
              </w:rPr>
            </w:pPr>
          </w:p>
          <w:p w14:paraId="2AEBDAB6" w14:textId="77777777" w:rsidR="00830C23" w:rsidRPr="00830C23" w:rsidRDefault="00830C23" w:rsidP="00830C23">
            <w:pPr>
              <w:shd w:val="clear" w:color="auto" w:fill="FFFFFF"/>
              <w:suppressAutoHyphens w:val="0"/>
              <w:autoSpaceDN/>
              <w:spacing w:after="0" w:line="240" w:lineRule="auto"/>
              <w:textAlignment w:val="baseline"/>
              <w:rPr>
                <w:rFonts w:cs="Arial"/>
                <w:color w:val="000000"/>
              </w:rPr>
            </w:pPr>
            <w:r w:rsidRPr="00830C23">
              <w:rPr>
                <w:rFonts w:cs="Arial"/>
                <w:color w:val="000000"/>
              </w:rPr>
              <w:t>Student voice indicated that all participants across all year groups felt more secure in their learning and their ability to face their summative assessments. They spoke highly about how working in smaller groups had built their confidence and allowed them to participate more.</w:t>
            </w:r>
          </w:p>
          <w:p w14:paraId="35324A64" w14:textId="77777777" w:rsidR="00830C23" w:rsidRPr="00830C23" w:rsidRDefault="00830C23" w:rsidP="00830C23">
            <w:pPr>
              <w:shd w:val="clear" w:color="auto" w:fill="FFFFFF"/>
              <w:suppressAutoHyphens w:val="0"/>
              <w:autoSpaceDN/>
              <w:spacing w:after="0" w:line="240" w:lineRule="auto"/>
              <w:textAlignment w:val="baseline"/>
              <w:rPr>
                <w:rFonts w:ascii="Segoe UI" w:hAnsi="Segoe UI" w:cs="Segoe UI"/>
                <w:color w:val="000000"/>
                <w:sz w:val="22"/>
                <w:szCs w:val="22"/>
              </w:rPr>
            </w:pPr>
          </w:p>
          <w:p w14:paraId="655CA2BC" w14:textId="77777777" w:rsidR="00830C23" w:rsidRPr="00830C23" w:rsidRDefault="00830C23" w:rsidP="00830C23">
            <w:pPr>
              <w:shd w:val="clear" w:color="auto" w:fill="FFFFFF"/>
              <w:suppressAutoHyphens w:val="0"/>
              <w:autoSpaceDN/>
              <w:spacing w:after="0" w:line="240" w:lineRule="auto"/>
              <w:textAlignment w:val="baseline"/>
              <w:rPr>
                <w:rFonts w:ascii="Segoe UI" w:hAnsi="Segoe UI" w:cs="Segoe UI"/>
                <w:color w:val="000000"/>
                <w:sz w:val="22"/>
                <w:szCs w:val="22"/>
              </w:rPr>
            </w:pPr>
          </w:p>
          <w:tbl>
            <w:tblPr>
              <w:tblW w:w="0" w:type="auto"/>
              <w:tblInd w:w="2089" w:type="dxa"/>
              <w:shd w:val="clear" w:color="auto" w:fill="FFFFFF"/>
              <w:tblCellMar>
                <w:top w:w="15" w:type="dxa"/>
                <w:left w:w="15" w:type="dxa"/>
                <w:bottom w:w="15" w:type="dxa"/>
                <w:right w:w="15" w:type="dxa"/>
              </w:tblCellMar>
              <w:tblLook w:val="04A0" w:firstRow="1" w:lastRow="0" w:firstColumn="1" w:lastColumn="0" w:noHBand="0" w:noVBand="1"/>
            </w:tblPr>
            <w:tblGrid>
              <w:gridCol w:w="1109"/>
              <w:gridCol w:w="1211"/>
              <w:gridCol w:w="1432"/>
              <w:gridCol w:w="1328"/>
            </w:tblGrid>
            <w:tr w:rsidR="00830C23" w:rsidRPr="00830C23" w14:paraId="01730951" w14:textId="77777777" w:rsidTr="006C26EE">
              <w:trPr>
                <w:trHeight w:val="608"/>
              </w:trPr>
              <w:tc>
                <w:tcPr>
                  <w:tcW w:w="1109" w:type="dxa"/>
                  <w:tcBorders>
                    <w:top w:val="single" w:sz="6" w:space="0" w:color="ABABAB"/>
                    <w:left w:val="single" w:sz="6" w:space="0" w:color="ABABAB"/>
                    <w:bottom w:val="single" w:sz="6" w:space="0" w:color="ABABAB"/>
                    <w:right w:val="single" w:sz="6" w:space="0" w:color="ABABAB"/>
                  </w:tcBorders>
                  <w:shd w:val="clear" w:color="auto" w:fill="FFFFFF"/>
                  <w:hideMark/>
                </w:tcPr>
                <w:p w14:paraId="2DDC0048" w14:textId="3472FE02" w:rsidR="00830C23" w:rsidRPr="00830C23" w:rsidRDefault="00830C23" w:rsidP="00830C23">
                  <w:pPr>
                    <w:suppressAutoHyphens w:val="0"/>
                    <w:autoSpaceDN/>
                    <w:spacing w:after="0" w:line="240" w:lineRule="auto"/>
                    <w:textAlignment w:val="baseline"/>
                    <w:divId w:val="94593771"/>
                    <w:rPr>
                      <w:rFonts w:cs="Arial"/>
                      <w:color w:val="000000"/>
                    </w:rPr>
                  </w:pPr>
                  <w:r w:rsidRPr="00830C23">
                    <w:rPr>
                      <w:rFonts w:cs="Arial"/>
                      <w:b/>
                      <w:bCs/>
                      <w:color w:val="000000"/>
                    </w:rPr>
                    <w:t>Y</w:t>
                  </w:r>
                  <w:r w:rsidR="00E86997">
                    <w:rPr>
                      <w:rFonts w:cs="Arial"/>
                      <w:b/>
                      <w:bCs/>
                      <w:color w:val="000000"/>
                    </w:rPr>
                    <w:t>ea</w:t>
                  </w:r>
                  <w:r w:rsidRPr="00830C23">
                    <w:rPr>
                      <w:rFonts w:cs="Arial"/>
                      <w:b/>
                      <w:bCs/>
                      <w:color w:val="000000"/>
                    </w:rPr>
                    <w:t>r 8</w:t>
                  </w:r>
                </w:p>
              </w:tc>
              <w:tc>
                <w:tcPr>
                  <w:tcW w:w="1211" w:type="dxa"/>
                  <w:tcBorders>
                    <w:top w:val="single" w:sz="6" w:space="0" w:color="ABABAB"/>
                    <w:left w:val="single" w:sz="6" w:space="0" w:color="ABABAB"/>
                    <w:bottom w:val="single" w:sz="6" w:space="0" w:color="ABABAB"/>
                    <w:right w:val="single" w:sz="6" w:space="0" w:color="ABABAB"/>
                  </w:tcBorders>
                  <w:shd w:val="clear" w:color="auto" w:fill="FFFFFF"/>
                  <w:hideMark/>
                </w:tcPr>
                <w:p w14:paraId="6C0398E7" w14:textId="787C0E3B" w:rsidR="00830C23" w:rsidRPr="00830C23" w:rsidRDefault="00830C23" w:rsidP="000C3E2E">
                  <w:pPr>
                    <w:suppressAutoHyphens w:val="0"/>
                    <w:autoSpaceDN/>
                    <w:spacing w:after="0" w:line="240" w:lineRule="auto"/>
                    <w:jc w:val="center"/>
                    <w:textAlignment w:val="baseline"/>
                    <w:rPr>
                      <w:rFonts w:cs="Arial"/>
                      <w:color w:val="000000"/>
                    </w:rPr>
                  </w:pPr>
                  <w:r w:rsidRPr="00830C23">
                    <w:rPr>
                      <w:rFonts w:cs="Arial"/>
                      <w:b/>
                      <w:bCs/>
                      <w:color w:val="000000"/>
                      <w:bdr w:val="none" w:sz="0" w:space="0" w:color="auto" w:frame="1"/>
                      <w:shd w:val="clear" w:color="auto" w:fill="FFFFFF"/>
                    </w:rPr>
                    <w:t>Dec</w:t>
                  </w:r>
                </w:p>
              </w:tc>
              <w:tc>
                <w:tcPr>
                  <w:tcW w:w="1432" w:type="dxa"/>
                  <w:tcBorders>
                    <w:top w:val="single" w:sz="6" w:space="0" w:color="ABABAB"/>
                    <w:left w:val="single" w:sz="6" w:space="0" w:color="ABABAB"/>
                    <w:bottom w:val="single" w:sz="6" w:space="0" w:color="ABABAB"/>
                    <w:right w:val="single" w:sz="6" w:space="0" w:color="ABABAB"/>
                  </w:tcBorders>
                  <w:shd w:val="clear" w:color="auto" w:fill="FFFFFF"/>
                  <w:hideMark/>
                </w:tcPr>
                <w:p w14:paraId="610DD272" w14:textId="4A3AE3BF" w:rsidR="00830C23" w:rsidRPr="00830C23" w:rsidRDefault="00830C23" w:rsidP="000C3E2E">
                  <w:pPr>
                    <w:suppressAutoHyphens w:val="0"/>
                    <w:autoSpaceDN/>
                    <w:spacing w:after="0" w:line="240" w:lineRule="auto"/>
                    <w:jc w:val="center"/>
                    <w:textAlignment w:val="baseline"/>
                    <w:rPr>
                      <w:rFonts w:cs="Arial"/>
                      <w:color w:val="000000"/>
                    </w:rPr>
                  </w:pPr>
                  <w:r w:rsidRPr="00830C23">
                    <w:rPr>
                      <w:rFonts w:cs="Arial"/>
                      <w:b/>
                      <w:bCs/>
                      <w:color w:val="000000"/>
                    </w:rPr>
                    <w:t>March</w:t>
                  </w:r>
                </w:p>
              </w:tc>
              <w:tc>
                <w:tcPr>
                  <w:tcW w:w="1328" w:type="dxa"/>
                  <w:tcBorders>
                    <w:top w:val="single" w:sz="6" w:space="0" w:color="ABABAB"/>
                    <w:left w:val="single" w:sz="6" w:space="0" w:color="ABABAB"/>
                    <w:bottom w:val="single" w:sz="6" w:space="0" w:color="ABABAB"/>
                    <w:right w:val="single" w:sz="6" w:space="0" w:color="ABABAB"/>
                  </w:tcBorders>
                  <w:shd w:val="clear" w:color="auto" w:fill="FFFFFF"/>
                  <w:hideMark/>
                </w:tcPr>
                <w:p w14:paraId="6A4F5B6B" w14:textId="503FE908" w:rsidR="00830C23" w:rsidRPr="00830C23" w:rsidRDefault="00830C23" w:rsidP="000C3E2E">
                  <w:pPr>
                    <w:suppressAutoHyphens w:val="0"/>
                    <w:autoSpaceDN/>
                    <w:spacing w:after="0" w:line="240" w:lineRule="auto"/>
                    <w:jc w:val="center"/>
                    <w:textAlignment w:val="baseline"/>
                    <w:rPr>
                      <w:rFonts w:cs="Arial"/>
                      <w:color w:val="000000"/>
                    </w:rPr>
                  </w:pPr>
                  <w:r w:rsidRPr="00830C23">
                    <w:rPr>
                      <w:rFonts w:cs="Arial"/>
                      <w:b/>
                      <w:bCs/>
                      <w:color w:val="000000"/>
                    </w:rPr>
                    <w:t>July</w:t>
                  </w:r>
                </w:p>
              </w:tc>
            </w:tr>
            <w:tr w:rsidR="00830C23" w:rsidRPr="00830C23" w14:paraId="530C841F" w14:textId="77777777" w:rsidTr="006C26EE">
              <w:trPr>
                <w:trHeight w:val="608"/>
              </w:trPr>
              <w:tc>
                <w:tcPr>
                  <w:tcW w:w="1109" w:type="dxa"/>
                  <w:tcBorders>
                    <w:top w:val="single" w:sz="6" w:space="0" w:color="ABABAB"/>
                    <w:left w:val="single" w:sz="6" w:space="0" w:color="ABABAB"/>
                    <w:bottom w:val="single" w:sz="6" w:space="0" w:color="ABABAB"/>
                    <w:right w:val="single" w:sz="6" w:space="0" w:color="ABABAB"/>
                  </w:tcBorders>
                  <w:shd w:val="clear" w:color="auto" w:fill="FFFFFF"/>
                  <w:hideMark/>
                </w:tcPr>
                <w:p w14:paraId="35391C0D" w14:textId="77777777" w:rsidR="00830C23" w:rsidRPr="00830C23" w:rsidRDefault="00830C23" w:rsidP="00830C23">
                  <w:pPr>
                    <w:suppressAutoHyphens w:val="0"/>
                    <w:autoSpaceDN/>
                    <w:spacing w:after="0" w:line="240" w:lineRule="auto"/>
                    <w:textAlignment w:val="baseline"/>
                    <w:rPr>
                      <w:rFonts w:cs="Arial"/>
                      <w:color w:val="000000"/>
                    </w:rPr>
                  </w:pPr>
                  <w:r w:rsidRPr="00830C23">
                    <w:rPr>
                      <w:rFonts w:cs="Arial"/>
                      <w:color w:val="000000"/>
                    </w:rPr>
                    <w:t>On Track</w:t>
                  </w:r>
                </w:p>
              </w:tc>
              <w:tc>
                <w:tcPr>
                  <w:tcW w:w="1211" w:type="dxa"/>
                  <w:tcBorders>
                    <w:top w:val="single" w:sz="6" w:space="0" w:color="ABABAB"/>
                    <w:left w:val="single" w:sz="6" w:space="0" w:color="ABABAB"/>
                    <w:bottom w:val="single" w:sz="6" w:space="0" w:color="ABABAB"/>
                    <w:right w:val="single" w:sz="6" w:space="0" w:color="ABABAB"/>
                  </w:tcBorders>
                  <w:shd w:val="clear" w:color="auto" w:fill="FFFFFF"/>
                  <w:hideMark/>
                </w:tcPr>
                <w:p w14:paraId="6AF5FE54" w14:textId="77777777" w:rsidR="00830C23" w:rsidRPr="00830C23" w:rsidRDefault="00830C23" w:rsidP="00830C23">
                  <w:pPr>
                    <w:suppressAutoHyphens w:val="0"/>
                    <w:autoSpaceDN/>
                    <w:spacing w:after="0" w:line="240" w:lineRule="auto"/>
                    <w:jc w:val="center"/>
                    <w:textAlignment w:val="baseline"/>
                    <w:rPr>
                      <w:rFonts w:cs="Arial"/>
                      <w:color w:val="000000"/>
                    </w:rPr>
                  </w:pPr>
                  <w:r w:rsidRPr="00830C23">
                    <w:rPr>
                      <w:rFonts w:cs="Arial"/>
                      <w:color w:val="000000"/>
                    </w:rPr>
                    <w:t>55% </w:t>
                  </w:r>
                </w:p>
              </w:tc>
              <w:tc>
                <w:tcPr>
                  <w:tcW w:w="1432" w:type="dxa"/>
                  <w:tcBorders>
                    <w:top w:val="single" w:sz="6" w:space="0" w:color="ABABAB"/>
                    <w:left w:val="single" w:sz="6" w:space="0" w:color="ABABAB"/>
                    <w:bottom w:val="single" w:sz="6" w:space="0" w:color="ABABAB"/>
                    <w:right w:val="single" w:sz="6" w:space="0" w:color="ABABAB"/>
                  </w:tcBorders>
                  <w:shd w:val="clear" w:color="auto" w:fill="FFFFFF"/>
                  <w:hideMark/>
                </w:tcPr>
                <w:p w14:paraId="7A2ADF86" w14:textId="77777777" w:rsidR="00830C23" w:rsidRPr="00830C23" w:rsidRDefault="00830C23" w:rsidP="00830C23">
                  <w:pPr>
                    <w:suppressAutoHyphens w:val="0"/>
                    <w:autoSpaceDN/>
                    <w:spacing w:after="0" w:line="240" w:lineRule="auto"/>
                    <w:jc w:val="center"/>
                    <w:textAlignment w:val="baseline"/>
                    <w:rPr>
                      <w:rFonts w:cs="Arial"/>
                      <w:color w:val="000000"/>
                    </w:rPr>
                  </w:pPr>
                  <w:r w:rsidRPr="00830C23">
                    <w:rPr>
                      <w:rFonts w:cs="Arial"/>
                      <w:color w:val="000000"/>
                    </w:rPr>
                    <w:t>53.5% </w:t>
                  </w:r>
                </w:p>
              </w:tc>
              <w:tc>
                <w:tcPr>
                  <w:tcW w:w="1328" w:type="dxa"/>
                  <w:tcBorders>
                    <w:top w:val="single" w:sz="6" w:space="0" w:color="ABABAB"/>
                    <w:left w:val="single" w:sz="6" w:space="0" w:color="ABABAB"/>
                    <w:bottom w:val="single" w:sz="6" w:space="0" w:color="ABABAB"/>
                    <w:right w:val="single" w:sz="6" w:space="0" w:color="ABABAB"/>
                  </w:tcBorders>
                  <w:shd w:val="clear" w:color="auto" w:fill="FFFFFF"/>
                  <w:hideMark/>
                </w:tcPr>
                <w:p w14:paraId="59CE1BC7" w14:textId="77777777" w:rsidR="00830C23" w:rsidRPr="00830C23" w:rsidRDefault="00830C23" w:rsidP="00830C23">
                  <w:pPr>
                    <w:suppressAutoHyphens w:val="0"/>
                    <w:autoSpaceDN/>
                    <w:spacing w:after="0" w:line="240" w:lineRule="auto"/>
                    <w:jc w:val="center"/>
                    <w:textAlignment w:val="baseline"/>
                    <w:rPr>
                      <w:rFonts w:cs="Arial"/>
                      <w:color w:val="000000"/>
                    </w:rPr>
                  </w:pPr>
                  <w:r w:rsidRPr="00830C23">
                    <w:rPr>
                      <w:rFonts w:cs="Arial"/>
                      <w:color w:val="000000"/>
                    </w:rPr>
                    <w:t>52.9% </w:t>
                  </w:r>
                </w:p>
              </w:tc>
            </w:tr>
            <w:tr w:rsidR="00830C23" w:rsidRPr="00830C23" w14:paraId="2D624841" w14:textId="77777777" w:rsidTr="006C26EE">
              <w:trPr>
                <w:trHeight w:val="608"/>
              </w:trPr>
              <w:tc>
                <w:tcPr>
                  <w:tcW w:w="1109" w:type="dxa"/>
                  <w:tcBorders>
                    <w:top w:val="single" w:sz="6" w:space="0" w:color="ABABAB"/>
                    <w:left w:val="single" w:sz="6" w:space="0" w:color="ABABAB"/>
                    <w:bottom w:val="single" w:sz="6" w:space="0" w:color="ABABAB"/>
                    <w:right w:val="single" w:sz="6" w:space="0" w:color="ABABAB"/>
                  </w:tcBorders>
                  <w:shd w:val="clear" w:color="auto" w:fill="FFFFFF"/>
                  <w:hideMark/>
                </w:tcPr>
                <w:p w14:paraId="22358982" w14:textId="77777777" w:rsidR="00830C23" w:rsidRPr="00830C23" w:rsidRDefault="00830C23" w:rsidP="00830C23">
                  <w:pPr>
                    <w:suppressAutoHyphens w:val="0"/>
                    <w:autoSpaceDN/>
                    <w:spacing w:after="0" w:line="240" w:lineRule="auto"/>
                    <w:textAlignment w:val="baseline"/>
                    <w:rPr>
                      <w:rFonts w:cs="Arial"/>
                      <w:color w:val="000000"/>
                    </w:rPr>
                  </w:pPr>
                  <w:r w:rsidRPr="00830C23">
                    <w:rPr>
                      <w:rFonts w:cs="Arial"/>
                      <w:b/>
                      <w:bCs/>
                      <w:color w:val="000000"/>
                    </w:rPr>
                    <w:t>PP Gap</w:t>
                  </w:r>
                </w:p>
              </w:tc>
              <w:tc>
                <w:tcPr>
                  <w:tcW w:w="1211" w:type="dxa"/>
                  <w:tcBorders>
                    <w:top w:val="single" w:sz="6" w:space="0" w:color="ABABAB"/>
                    <w:left w:val="single" w:sz="6" w:space="0" w:color="ABABAB"/>
                    <w:bottom w:val="single" w:sz="6" w:space="0" w:color="ABABAB"/>
                    <w:right w:val="single" w:sz="6" w:space="0" w:color="ABABAB"/>
                  </w:tcBorders>
                  <w:shd w:val="clear" w:color="auto" w:fill="FFFFFF"/>
                  <w:hideMark/>
                </w:tcPr>
                <w:p w14:paraId="7AE8F772" w14:textId="77777777" w:rsidR="00830C23" w:rsidRPr="00830C23" w:rsidRDefault="00830C23" w:rsidP="00830C23">
                  <w:pPr>
                    <w:suppressAutoHyphens w:val="0"/>
                    <w:autoSpaceDN/>
                    <w:spacing w:after="0" w:line="240" w:lineRule="auto"/>
                    <w:jc w:val="center"/>
                    <w:textAlignment w:val="baseline"/>
                    <w:rPr>
                      <w:rFonts w:cs="Arial"/>
                      <w:color w:val="000000"/>
                    </w:rPr>
                  </w:pPr>
                  <w:r w:rsidRPr="00830C23">
                    <w:rPr>
                      <w:rFonts w:cs="Arial"/>
                      <w:b/>
                      <w:bCs/>
                      <w:color w:val="000000"/>
                    </w:rPr>
                    <w:t>4.9% </w:t>
                  </w:r>
                </w:p>
              </w:tc>
              <w:tc>
                <w:tcPr>
                  <w:tcW w:w="1432" w:type="dxa"/>
                  <w:tcBorders>
                    <w:top w:val="single" w:sz="6" w:space="0" w:color="ABABAB"/>
                    <w:left w:val="single" w:sz="6" w:space="0" w:color="ABABAB"/>
                    <w:bottom w:val="single" w:sz="6" w:space="0" w:color="ABABAB"/>
                    <w:right w:val="single" w:sz="6" w:space="0" w:color="ABABAB"/>
                  </w:tcBorders>
                  <w:shd w:val="clear" w:color="auto" w:fill="FFFFFF"/>
                  <w:hideMark/>
                </w:tcPr>
                <w:p w14:paraId="5669CB98" w14:textId="77777777" w:rsidR="00830C23" w:rsidRPr="00830C23" w:rsidRDefault="00830C23" w:rsidP="00830C23">
                  <w:pPr>
                    <w:suppressAutoHyphens w:val="0"/>
                    <w:autoSpaceDN/>
                    <w:spacing w:after="0" w:line="240" w:lineRule="auto"/>
                    <w:jc w:val="center"/>
                    <w:textAlignment w:val="baseline"/>
                    <w:rPr>
                      <w:rFonts w:cs="Arial"/>
                      <w:color w:val="000000"/>
                    </w:rPr>
                  </w:pPr>
                  <w:r w:rsidRPr="00830C23">
                    <w:rPr>
                      <w:rFonts w:cs="Arial"/>
                      <w:b/>
                      <w:bCs/>
                      <w:color w:val="000000"/>
                    </w:rPr>
                    <w:t>1.2% </w:t>
                  </w:r>
                </w:p>
              </w:tc>
              <w:tc>
                <w:tcPr>
                  <w:tcW w:w="1328" w:type="dxa"/>
                  <w:tcBorders>
                    <w:top w:val="single" w:sz="6" w:space="0" w:color="ABABAB"/>
                    <w:left w:val="single" w:sz="6" w:space="0" w:color="ABABAB"/>
                    <w:bottom w:val="single" w:sz="6" w:space="0" w:color="ABABAB"/>
                    <w:right w:val="single" w:sz="6" w:space="0" w:color="ABABAB"/>
                  </w:tcBorders>
                  <w:shd w:val="clear" w:color="auto" w:fill="FFFFFF"/>
                  <w:hideMark/>
                </w:tcPr>
                <w:p w14:paraId="33B477BC" w14:textId="77777777" w:rsidR="00830C23" w:rsidRPr="00830C23" w:rsidRDefault="00830C23" w:rsidP="00830C23">
                  <w:pPr>
                    <w:suppressAutoHyphens w:val="0"/>
                    <w:autoSpaceDN/>
                    <w:spacing w:after="0" w:line="240" w:lineRule="auto"/>
                    <w:jc w:val="center"/>
                    <w:textAlignment w:val="baseline"/>
                    <w:rPr>
                      <w:rFonts w:cs="Arial"/>
                      <w:color w:val="000000"/>
                    </w:rPr>
                  </w:pPr>
                  <w:r w:rsidRPr="00830C23">
                    <w:rPr>
                      <w:rFonts w:cs="Arial"/>
                      <w:b/>
                      <w:bCs/>
                      <w:color w:val="000000"/>
                    </w:rPr>
                    <w:t>0.6% </w:t>
                  </w:r>
                </w:p>
              </w:tc>
            </w:tr>
          </w:tbl>
          <w:p w14:paraId="2E7AC11A" w14:textId="77777777" w:rsidR="00830C23" w:rsidRPr="00830C23" w:rsidRDefault="00830C23" w:rsidP="00830C23">
            <w:pPr>
              <w:shd w:val="clear" w:color="auto" w:fill="FFFFFF"/>
              <w:suppressAutoHyphens w:val="0"/>
              <w:autoSpaceDN/>
              <w:spacing w:after="0" w:line="240" w:lineRule="auto"/>
              <w:textAlignment w:val="baseline"/>
              <w:rPr>
                <w:rFonts w:cs="Arial"/>
                <w:color w:val="000000"/>
              </w:rPr>
            </w:pPr>
          </w:p>
          <w:p w14:paraId="364ED3F8" w14:textId="1C53D1AB" w:rsidR="00830C23" w:rsidRPr="00830C23" w:rsidRDefault="00830C23" w:rsidP="00830C23">
            <w:pPr>
              <w:shd w:val="clear" w:color="auto" w:fill="FFFFFF"/>
              <w:suppressAutoHyphens w:val="0"/>
              <w:autoSpaceDN/>
              <w:spacing w:after="0" w:line="240" w:lineRule="auto"/>
              <w:textAlignment w:val="baseline"/>
              <w:rPr>
                <w:rFonts w:cs="Arial"/>
                <w:color w:val="000000"/>
              </w:rPr>
            </w:pPr>
            <w:r w:rsidRPr="00830C23">
              <w:rPr>
                <w:rFonts w:cs="Arial"/>
                <w:color w:val="000000"/>
              </w:rPr>
              <w:t>In Year 8 we saw the most impressive impact as this shows that the PP gap has narrowed due to tutoring provided to specific students.</w:t>
            </w:r>
            <w:r w:rsidR="00E66CA1">
              <w:rPr>
                <w:rFonts w:cs="Arial"/>
                <w:color w:val="000000"/>
              </w:rPr>
              <w:t xml:space="preserve"> </w:t>
            </w:r>
            <w:r w:rsidR="00E66CA1" w:rsidRPr="001A7034">
              <w:rPr>
                <w:color w:val="000000"/>
              </w:rPr>
              <w:t xml:space="preserve">This year we will continue to offer </w:t>
            </w:r>
            <w:r w:rsidR="00E66CA1">
              <w:rPr>
                <w:color w:val="000000"/>
              </w:rPr>
              <w:t>tutoring in Englis</w:t>
            </w:r>
            <w:r w:rsidR="0092092A">
              <w:rPr>
                <w:color w:val="000000"/>
              </w:rPr>
              <w:t>h</w:t>
            </w:r>
            <w:r w:rsidR="00E66CA1" w:rsidRPr="001A7034">
              <w:rPr>
                <w:color w:val="000000"/>
              </w:rPr>
              <w:t>.</w:t>
            </w:r>
          </w:p>
          <w:p w14:paraId="4EB2858B" w14:textId="77777777" w:rsidR="007A3629" w:rsidRPr="00785265" w:rsidRDefault="007A3629" w:rsidP="007A3629">
            <w:pPr>
              <w:rPr>
                <w:b/>
                <w:bCs/>
                <w:color w:val="000000"/>
              </w:rPr>
            </w:pPr>
            <w:r w:rsidRPr="00785265">
              <w:rPr>
                <w:b/>
                <w:bCs/>
                <w:color w:val="000000"/>
              </w:rPr>
              <w:lastRenderedPageBreak/>
              <w:t xml:space="preserve">Attendance </w:t>
            </w:r>
          </w:p>
          <w:p w14:paraId="4A6536CE" w14:textId="47FE9D18" w:rsidR="007A3629" w:rsidRPr="001A7034" w:rsidRDefault="007A3629" w:rsidP="007A3629">
            <w:pPr>
              <w:rPr>
                <w:color w:val="000000"/>
              </w:rPr>
            </w:pPr>
            <w:r w:rsidRPr="001A7034">
              <w:rPr>
                <w:color w:val="000000"/>
              </w:rPr>
              <w:t>Despite facing local and national challenges with school attendance, GAA concluded the 2023/24 academic year above FFT National Averages—recording 91.1% compared to the FFT National Average of 90.8%. Notably, pupils in years 7-9 outperformed the FFT national average, with Year 9 showing the highest performance at 1.8% above FFT national average. Year 10 and Year 11 remain a key focus for improvement at 0.3% and -2.3% below the FFT national average, respectively. GAA is Q4 for FSM6.  Our FSM6 Students are also above 1.5% above all Q4 schools and FSM6 also attend better than Q3 schools.</w:t>
            </w:r>
          </w:p>
          <w:p w14:paraId="667C9C30" w14:textId="7A424E4D" w:rsidR="007A3629" w:rsidRPr="001A7034" w:rsidRDefault="007A3629" w:rsidP="007A3629">
            <w:pPr>
              <w:rPr>
                <w:color w:val="000000"/>
              </w:rPr>
            </w:pPr>
            <w:r w:rsidRPr="001A7034">
              <w:rPr>
                <w:color w:val="000000"/>
              </w:rPr>
              <w:t>A concerted school-wide effort to improve punctuality yielded substantial results. Just 1.0% of GAA’s Attendance marks were late marks for academic year 2023/24 compared to 1.2% for academic yar 2021/22.</w:t>
            </w:r>
          </w:p>
          <w:p w14:paraId="46C767AC" w14:textId="7DC959DA" w:rsidR="007A3629" w:rsidRPr="001A7034" w:rsidRDefault="007A3629" w:rsidP="007A3629">
            <w:pPr>
              <w:rPr>
                <w:color w:val="000000"/>
              </w:rPr>
            </w:pPr>
            <w:r w:rsidRPr="001A7034">
              <w:rPr>
                <w:color w:val="000000"/>
              </w:rPr>
              <w:t xml:space="preserve">Whilst the headline figures for attendance show significant improvement and are in line with (post pandemic) national figures, there remains several PA families receiving bespoke support to improve attendance routines and a number of these families are also PP. In line with DfE best practice guidance we will continue to support these pupils to establish and embed new attendance habits in 2024/5. </w:t>
            </w:r>
          </w:p>
          <w:p w14:paraId="6AE0FF2F" w14:textId="77777777" w:rsidR="007A3629" w:rsidRDefault="007A3629" w:rsidP="007A3629">
            <w:pPr>
              <w:rPr>
                <w:color w:val="000000"/>
              </w:rPr>
            </w:pPr>
            <w:r w:rsidRPr="001A7034">
              <w:rPr>
                <w:color w:val="000000"/>
              </w:rPr>
              <w:t>End of year national attendance data for Great Academy Ashton</w:t>
            </w:r>
          </w:p>
          <w:p w14:paraId="5742B6C2" w14:textId="2B4CB7F3" w:rsidR="00A605F4" w:rsidRDefault="00EF6F7F" w:rsidP="007A3629">
            <w:pPr>
              <w:rPr>
                <w:color w:val="000000"/>
              </w:rPr>
            </w:pPr>
            <w:r>
              <w:rPr>
                <w:noProof/>
              </w:rPr>
              <w:drawing>
                <wp:inline distT="0" distB="0" distL="0" distR="0" wp14:anchorId="39399F1F" wp14:editId="729A4ACA">
                  <wp:extent cx="5448300" cy="1108296"/>
                  <wp:effectExtent l="0" t="0" r="0" b="0"/>
                  <wp:docPr id="2107296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96490" name="Picture 1"/>
                          <pic:cNvPicPr>
                            <a:picLocks noChangeAspect="1"/>
                          </pic:cNvPicPr>
                        </pic:nvPicPr>
                        <pic:blipFill>
                          <a:blip r:embed="rId52"/>
                          <a:stretch>
                            <a:fillRect/>
                          </a:stretch>
                        </pic:blipFill>
                        <pic:spPr>
                          <a:xfrm>
                            <a:off x="0" y="0"/>
                            <a:ext cx="5458812" cy="1110434"/>
                          </a:xfrm>
                          <a:prstGeom prst="rect">
                            <a:avLst/>
                          </a:prstGeom>
                        </pic:spPr>
                      </pic:pic>
                    </a:graphicData>
                  </a:graphic>
                </wp:inline>
              </w:drawing>
            </w:r>
          </w:p>
          <w:p w14:paraId="0188E5BD" w14:textId="77777777" w:rsidR="00BA27BE" w:rsidRDefault="00BA27BE" w:rsidP="007A3629">
            <w:pPr>
              <w:rPr>
                <w:color w:val="000000"/>
              </w:rPr>
            </w:pPr>
            <w:r>
              <w:rPr>
                <w:noProof/>
              </w:rPr>
              <w:drawing>
                <wp:inline distT="0" distB="0" distL="0" distR="0" wp14:anchorId="3F508EF2" wp14:editId="1088ADD6">
                  <wp:extent cx="5457825" cy="920415"/>
                  <wp:effectExtent l="0" t="0" r="0" b="0"/>
                  <wp:docPr id="1868033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33827" name="Picture 1"/>
                          <pic:cNvPicPr>
                            <a:picLocks noChangeAspect="1"/>
                          </pic:cNvPicPr>
                        </pic:nvPicPr>
                        <pic:blipFill>
                          <a:blip r:embed="rId53"/>
                          <a:stretch>
                            <a:fillRect/>
                          </a:stretch>
                        </pic:blipFill>
                        <pic:spPr>
                          <a:xfrm>
                            <a:off x="0" y="0"/>
                            <a:ext cx="5488735" cy="925628"/>
                          </a:xfrm>
                          <a:prstGeom prst="rect">
                            <a:avLst/>
                          </a:prstGeom>
                        </pic:spPr>
                      </pic:pic>
                    </a:graphicData>
                  </a:graphic>
                </wp:inline>
              </w:drawing>
            </w:r>
          </w:p>
          <w:p w14:paraId="54E8CC77" w14:textId="77777777" w:rsidR="00BA27BE" w:rsidRDefault="00BA27BE" w:rsidP="007A3629">
            <w:pPr>
              <w:rPr>
                <w:color w:val="000000"/>
              </w:rPr>
            </w:pPr>
          </w:p>
          <w:p w14:paraId="17FDFA55" w14:textId="4AAFCA18" w:rsidR="007A3629" w:rsidRPr="00785265" w:rsidRDefault="00BA27BE" w:rsidP="007A3629">
            <w:pPr>
              <w:rPr>
                <w:b/>
                <w:bCs/>
                <w:color w:val="000000"/>
              </w:rPr>
            </w:pPr>
            <w:r w:rsidRPr="00785265">
              <w:rPr>
                <w:b/>
                <w:bCs/>
                <w:color w:val="000000"/>
              </w:rPr>
              <w:t>L</w:t>
            </w:r>
            <w:r w:rsidR="007A3629" w:rsidRPr="00785265">
              <w:rPr>
                <w:b/>
                <w:bCs/>
                <w:color w:val="000000"/>
              </w:rPr>
              <w:t xml:space="preserve">iteracy  </w:t>
            </w:r>
          </w:p>
          <w:p w14:paraId="19328061" w14:textId="5177D9B4" w:rsidR="007A3629" w:rsidRPr="001A7034" w:rsidRDefault="007A3629" w:rsidP="007A3629">
            <w:pPr>
              <w:rPr>
                <w:color w:val="000000"/>
              </w:rPr>
            </w:pPr>
            <w:r w:rsidRPr="001A7034">
              <w:rPr>
                <w:color w:val="000000"/>
              </w:rPr>
              <w:t xml:space="preserve">The focus of the overall strategy is to develop the use of academic vocabulary, in particular tier 2 and tier 3 vocabulary, reading for pleasure, disciplinary reading, and writing. Alongside this, in practical based subjects there is the development of oracy skills in the academic register, using the tier 2 and 3 vocabularies. </w:t>
            </w:r>
          </w:p>
          <w:p w14:paraId="107A65E3" w14:textId="6674447F" w:rsidR="007A3629" w:rsidRPr="001A7034" w:rsidRDefault="007A3629" w:rsidP="007A3629">
            <w:pPr>
              <w:rPr>
                <w:color w:val="000000"/>
              </w:rPr>
            </w:pPr>
            <w:r w:rsidRPr="001A7034">
              <w:rPr>
                <w:color w:val="000000"/>
              </w:rPr>
              <w:t xml:space="preserve">Several literacy specific initiatives are now well established, which include a vibrant new library with investment in a well curated and engaging catalogue.  Every pupil has </w:t>
            </w:r>
            <w:r w:rsidRPr="001A7034">
              <w:rPr>
                <w:color w:val="000000"/>
              </w:rPr>
              <w:lastRenderedPageBreak/>
              <w:t xml:space="preserve">a library induction, subjects use the library for research lessons and the library beats at the heart of our school during breaks, dinners and after school.  All pupils hear an academic word of the week every day in morning mood and reinforced in form time with the use of the Frayer Model.  In academic year 2023/24 there is an improved reading curriculum offered during the universal programme in place; twice a week form groups read a shared novel; this continues to be an area of development to maximise the impact of this. A transition book is given to each new year 7 pupil ‘Who let the Gods Out’ and every child in Year 8 receives a copy of the Shakespeare play Romeo and Juliet. All pupils in KS3 have been using Reading Plus from September 2022 as part of reading curriculum, a focused reading platform that addresses weaknesses in reading. Deliberate Practice CPD sessions have run on the use of the Frayer Model and on the benefits of reading aloud. Whole school twilight training on Disciplinary Language on 8th December 2022, May 2023, November 2023, February 2024, May 2024, September 2024.  Literacy is a prominent item on the agenda of Middle Leadership Team meetings and features in Curriculum LMM.  In academic year 2024-25, we launched our whole school Reg and Read and GAA Literary Canon during designated daily reading time, increasing the reading for pleasure curriculum even further.  </w:t>
            </w:r>
          </w:p>
          <w:p w14:paraId="148A39DE" w14:textId="573EE5F6" w:rsidR="007A3629" w:rsidRPr="001A7034" w:rsidRDefault="007A3629" w:rsidP="007A3629">
            <w:pPr>
              <w:rPr>
                <w:color w:val="000000"/>
              </w:rPr>
            </w:pPr>
            <w:r w:rsidRPr="001A7034">
              <w:rPr>
                <w:color w:val="000000"/>
              </w:rPr>
              <w:t xml:space="preserve">The NGRT is completed annually with all year groups.  In November 2024 the average improvement was +2.1 on average SAS score, with 3 of </w:t>
            </w:r>
            <w:r w:rsidR="00352A70" w:rsidRPr="001A7034">
              <w:rPr>
                <w:color w:val="000000"/>
              </w:rPr>
              <w:t>4-year</w:t>
            </w:r>
            <w:r w:rsidRPr="001A7034">
              <w:rPr>
                <w:color w:val="000000"/>
              </w:rPr>
              <w:t xml:space="preserve"> groups making over +2 progress and one year group making +4.5 progress.  Using NGRT data, Year 11 Stanine 3 pupils are now receiving 1:1 bespoke intervention.  In June 2024, the Year 7 cohort added +4 on their in year NGRT SAS, this is statistically significant. </w:t>
            </w:r>
          </w:p>
          <w:p w14:paraId="04A8AE57" w14:textId="784FFF6E" w:rsidR="007A3629" w:rsidRPr="001A7034" w:rsidRDefault="007A3629" w:rsidP="007A3629">
            <w:pPr>
              <w:rPr>
                <w:color w:val="000000"/>
              </w:rPr>
            </w:pPr>
            <w:r w:rsidRPr="001A7034">
              <w:rPr>
                <w:color w:val="000000"/>
              </w:rPr>
              <w:t xml:space="preserve">Disciplinary Reading and Writing is now led by a single brief Middle Leader, the focus of work in 2024/25 continues to be that all subjects plan strategically for the teaching of disciplinary reading, using academic extracts and excerpts that are then linked to meaningful comprehension activities.  In most subjects, the responses to which can then lead to a piece of extended academic writing. Quality Assurance is robust.  </w:t>
            </w:r>
          </w:p>
          <w:p w14:paraId="47306BE1" w14:textId="79BAE766" w:rsidR="007A3629" w:rsidRPr="001A7034" w:rsidRDefault="007A3629" w:rsidP="007A3629">
            <w:pPr>
              <w:rPr>
                <w:color w:val="000000"/>
              </w:rPr>
            </w:pPr>
            <w:r w:rsidRPr="001A7034">
              <w:rPr>
                <w:color w:val="000000"/>
              </w:rPr>
              <w:t>To support EAL pupils with their language acquisition, there has been investment to create an EAL Hub, in close proximity to the library with a dedicated EAL member of staff.  The EAL Coordinator supports new EAL arrivals, provides in class support, differentiates, and adapts the content of classwork according to the needs of the EAL student, provides small group intervention packages that are tailored to the individual needs of the students and leads sessions on Lexonik and Lexonik Leap to further assist the students with their language acquisition.</w:t>
            </w:r>
          </w:p>
          <w:p w14:paraId="27A77AD8" w14:textId="307ADAD1" w:rsidR="007A3629" w:rsidRPr="001A7034" w:rsidRDefault="007A3629" w:rsidP="007A3629">
            <w:pPr>
              <w:rPr>
                <w:color w:val="000000"/>
              </w:rPr>
            </w:pPr>
            <w:r w:rsidRPr="001A7034">
              <w:rPr>
                <w:color w:val="000000"/>
              </w:rPr>
              <w:t>Bell Foundation: Resour</w:t>
            </w:r>
            <w:r w:rsidRPr="00352A70">
              <w:rPr>
                <w:rFonts w:cs="Arial"/>
                <w:color w:val="000000"/>
              </w:rPr>
              <w:t xml:space="preserve">ces: </w:t>
            </w:r>
            <w:hyperlink r:id="rId54" w:tgtFrame="_blank" w:tooltip="Original URL: http://www.bell-foundation.org.uk/resources/programme/eal-programme/. Click or tap if you trust this link." w:history="1">
              <w:r w:rsidR="00C4139F" w:rsidRPr="00352A70">
                <w:rPr>
                  <w:rStyle w:val="Hyperlink"/>
                  <w:rFonts w:cs="Arial"/>
                  <w:bdr w:val="none" w:sz="0" w:space="0" w:color="auto" w:frame="1"/>
                </w:rPr>
                <w:t>bell-foundation.org.uk/resources/programme/</w:t>
              </w:r>
              <w:proofErr w:type="spellStart"/>
              <w:r w:rsidR="00C4139F" w:rsidRPr="00352A70">
                <w:rPr>
                  <w:rStyle w:val="Hyperlink"/>
                  <w:rFonts w:cs="Arial"/>
                  <w:bdr w:val="none" w:sz="0" w:space="0" w:color="auto" w:frame="1"/>
                </w:rPr>
                <w:t>eal</w:t>
              </w:r>
              <w:proofErr w:type="spellEnd"/>
              <w:r w:rsidR="00C4139F" w:rsidRPr="00352A70">
                <w:rPr>
                  <w:rStyle w:val="Hyperlink"/>
                  <w:rFonts w:cs="Arial"/>
                  <w:bdr w:val="none" w:sz="0" w:space="0" w:color="auto" w:frame="1"/>
                </w:rPr>
                <w:t>-programme/</w:t>
              </w:r>
            </w:hyperlink>
          </w:p>
          <w:p w14:paraId="5F207DB8" w14:textId="77777777" w:rsidR="007A3629" w:rsidRPr="001A7034" w:rsidRDefault="007A3629" w:rsidP="007A3629">
            <w:pPr>
              <w:rPr>
                <w:color w:val="000000"/>
              </w:rPr>
            </w:pPr>
            <w:r w:rsidRPr="001A7034">
              <w:rPr>
                <w:color w:val="000000"/>
              </w:rPr>
              <w:t xml:space="preserve">Chalmers (ed): The </w:t>
            </w:r>
            <w:proofErr w:type="spellStart"/>
            <w:r w:rsidRPr="001A7034">
              <w:rPr>
                <w:color w:val="000000"/>
              </w:rPr>
              <w:t>researchED</w:t>
            </w:r>
            <w:proofErr w:type="spellEnd"/>
            <w:r w:rsidRPr="001A7034">
              <w:rPr>
                <w:color w:val="000000"/>
              </w:rPr>
              <w:t xml:space="preserve"> Guide to English as an Additional Language, John Catt Educational, 2022.</w:t>
            </w:r>
          </w:p>
          <w:p w14:paraId="7C83E018" w14:textId="77777777" w:rsidR="007A3629" w:rsidRPr="00352A70" w:rsidRDefault="007A3629" w:rsidP="007A3629">
            <w:pPr>
              <w:rPr>
                <w:rFonts w:cs="Arial"/>
                <w:color w:val="000000"/>
              </w:rPr>
            </w:pPr>
            <w:r w:rsidRPr="001A7034">
              <w:rPr>
                <w:color w:val="000000"/>
              </w:rPr>
              <w:lastRenderedPageBreak/>
              <w:t xml:space="preserve">Evans et al: Language Development and Social Integration of Students with English as an </w:t>
            </w:r>
            <w:r w:rsidRPr="00352A70">
              <w:rPr>
                <w:rFonts w:cs="Arial"/>
                <w:color w:val="000000"/>
              </w:rPr>
              <w:t>Additional Language, Cambridge University Press, 2020.</w:t>
            </w:r>
          </w:p>
          <w:p w14:paraId="6A38FA44" w14:textId="6F460E07" w:rsidR="007A3629" w:rsidRPr="00352A70" w:rsidRDefault="007A3629" w:rsidP="007A3629">
            <w:pPr>
              <w:rPr>
                <w:rFonts w:cs="Arial"/>
                <w:color w:val="000000"/>
              </w:rPr>
            </w:pPr>
            <w:r w:rsidRPr="00352A70">
              <w:rPr>
                <w:rFonts w:cs="Arial"/>
                <w:color w:val="000000"/>
              </w:rPr>
              <w:t xml:space="preserve">NALDIC: </w:t>
            </w:r>
            <w:hyperlink r:id="rId55" w:tgtFrame="_blank" w:tooltip="Original URL: https://naldic.org.uk/. Click or tap if you trust this link." w:history="1">
              <w:r w:rsidR="00352A70" w:rsidRPr="00352A70">
                <w:rPr>
                  <w:rStyle w:val="Hyperlink"/>
                  <w:rFonts w:cs="Arial"/>
                  <w:bdr w:val="none" w:sz="0" w:space="0" w:color="auto" w:frame="1"/>
                </w:rPr>
                <w:t>https://naldic.org.uk/</w:t>
              </w:r>
            </w:hyperlink>
            <w:r w:rsidR="00352A70" w:rsidRPr="00352A70">
              <w:rPr>
                <w:rFonts w:cs="Arial"/>
                <w:color w:val="000000"/>
                <w:bdr w:val="none" w:sz="0" w:space="0" w:color="auto" w:frame="1"/>
              </w:rPr>
              <w:t> </w:t>
            </w:r>
          </w:p>
          <w:p w14:paraId="61608C12" w14:textId="5341E725" w:rsidR="007A3629" w:rsidRPr="001A7034" w:rsidRDefault="007A3629" w:rsidP="007A3629">
            <w:pPr>
              <w:rPr>
                <w:color w:val="000000"/>
              </w:rPr>
            </w:pPr>
            <w:r w:rsidRPr="001A7034">
              <w:rPr>
                <w:color w:val="000000"/>
              </w:rPr>
              <w:t>Sharples: Teaching EAL: Evidence-based strategies for the classroom and school, Multilingual Matters, 2021.</w:t>
            </w:r>
          </w:p>
          <w:p w14:paraId="4FEA85C0" w14:textId="77777777" w:rsidR="007A3629" w:rsidRPr="001A7034" w:rsidRDefault="007A3629" w:rsidP="007A3629">
            <w:pPr>
              <w:rPr>
                <w:color w:val="000000"/>
              </w:rPr>
            </w:pPr>
            <w:r w:rsidRPr="001A7034">
              <w:rPr>
                <w:color w:val="000000"/>
              </w:rPr>
              <w:t xml:space="preserve">The school is a part of the Right to Succeed project across Tameside, this is a proven literacy initiative to help improve levels of literacy in areas of disadvantage, the focus is Year 7 and Year 8. PP pupil 96.6 SAS and non-PP SAS is 101.9, at the end of the year, the gap remained constant, all students improved, the gap at GAA is smaller than the national gap for PP/Non-PP in SAS and is not widening, although not narrowing. </w:t>
            </w:r>
          </w:p>
          <w:p w14:paraId="7319F036" w14:textId="77777777" w:rsidR="007A3629" w:rsidRPr="001A7034" w:rsidRDefault="007A3629" w:rsidP="007A3629">
            <w:pPr>
              <w:rPr>
                <w:color w:val="000000"/>
              </w:rPr>
            </w:pPr>
          </w:p>
          <w:p w14:paraId="4521432D" w14:textId="77777777" w:rsidR="007A3629" w:rsidRPr="00785265" w:rsidRDefault="007A3629" w:rsidP="007A3629">
            <w:pPr>
              <w:rPr>
                <w:b/>
                <w:bCs/>
                <w:color w:val="000000"/>
              </w:rPr>
            </w:pPr>
            <w:r w:rsidRPr="00785265">
              <w:rPr>
                <w:b/>
                <w:bCs/>
                <w:color w:val="000000"/>
              </w:rPr>
              <w:t xml:space="preserve">Routines &amp; Culture </w:t>
            </w:r>
          </w:p>
          <w:p w14:paraId="299F3568" w14:textId="403B7994" w:rsidR="007A3629" w:rsidRPr="001A7034" w:rsidRDefault="007A3629" w:rsidP="007A3629">
            <w:pPr>
              <w:rPr>
                <w:color w:val="000000"/>
              </w:rPr>
            </w:pPr>
            <w:r w:rsidRPr="001A7034">
              <w:rPr>
                <w:color w:val="000000"/>
              </w:rPr>
              <w:t xml:space="preserve">Great Academy Ashton has effectively implemented a proactive behaviour curriculum to consistently remind pupils of expected routines and standards. This curriculum includes key components such as the 'Morning Mood' routine, originally developed through our collaboration with the DfE Behaviour Hub and now extended to encompass all year groups, along with Strong Start, Do Now and Finish Now strategies. These elements are seamlessly integrated into every lesson, and Learning Modes are increasingly utilised to structure activities across various subjects. In the 2024/25 academic year, we will further enhance our methodologies, including student and staff training on relational inclusion. </w:t>
            </w:r>
          </w:p>
          <w:p w14:paraId="6FFD9677" w14:textId="5FD9DC8B" w:rsidR="007A3629" w:rsidRPr="001A7034" w:rsidRDefault="007A3629" w:rsidP="007A3629">
            <w:pPr>
              <w:rPr>
                <w:color w:val="000000"/>
              </w:rPr>
            </w:pPr>
            <w:r w:rsidRPr="001A7034">
              <w:rPr>
                <w:color w:val="000000"/>
              </w:rPr>
              <w:t xml:space="preserve">An analysis of the 2023/2024 behaviour data indicates a reduction in reliance on internal isolations and suspensions. Suspensions for Pupil Premium Students reduced by 49.5% and the number of sessions lost due to suspensions for Pupil Premium students reduced by 50.03%.  The number of Pupil Premium students suspended in comparison to non-Pupil Premium students is an area of focus.  To address this, we are reinforcing our commitment to professional development through Deliberate Practice CPD for all teaching staff. This program emphasizes a spectrum of Positive Framing techniques, essential for the effective implementation of classroom norms and routines. Additionally, we continue to leverage positive reinforcement to align pupil behaviour with our expectations. </w:t>
            </w:r>
          </w:p>
          <w:p w14:paraId="6E824D96" w14:textId="77777777" w:rsidR="007A3629" w:rsidRPr="001A7034" w:rsidRDefault="007A3629" w:rsidP="007A3629">
            <w:pPr>
              <w:rPr>
                <w:color w:val="000000"/>
              </w:rPr>
            </w:pPr>
            <w:r w:rsidRPr="001A7034">
              <w:rPr>
                <w:color w:val="000000"/>
              </w:rPr>
              <w:t xml:space="preserve">Our involvement in a regional pilot for relational inclusion is another strategic step forward. Here, 50 staff members will receive specialized training in relational inclusion, equipping them to better assist pupils during moments of dysregulation. The effectiveness of these interventions is monitored via the Class Charts system. Notably, the overwhelming number of GREAT points awarded (729954) compared to the instances of behaviour incidents (30494) is a testament to our successful behavioural </w:t>
            </w:r>
            <w:r w:rsidRPr="001A7034">
              <w:rPr>
                <w:color w:val="000000"/>
              </w:rPr>
              <w:lastRenderedPageBreak/>
              <w:t xml:space="preserve">strategies. Furthermore, a leadership review by the Director of Education for GAET has affirmed continuous improvements in specific areas of pupil behaviour. </w:t>
            </w:r>
          </w:p>
          <w:p w14:paraId="17E76529" w14:textId="77777777" w:rsidR="007A3629" w:rsidRPr="001A7034" w:rsidRDefault="007A3629" w:rsidP="007A3629">
            <w:pPr>
              <w:rPr>
                <w:color w:val="000000"/>
              </w:rPr>
            </w:pPr>
          </w:p>
          <w:p w14:paraId="23209E81" w14:textId="77777777" w:rsidR="007A3629" w:rsidRPr="00785265" w:rsidRDefault="007A3629" w:rsidP="007A3629">
            <w:pPr>
              <w:rPr>
                <w:b/>
                <w:bCs/>
                <w:color w:val="000000"/>
              </w:rPr>
            </w:pPr>
            <w:r w:rsidRPr="00785265">
              <w:rPr>
                <w:b/>
                <w:bCs/>
                <w:color w:val="000000"/>
              </w:rPr>
              <w:t>Mental Health and Wellbeing</w:t>
            </w:r>
          </w:p>
          <w:p w14:paraId="356D6EB7" w14:textId="77777777" w:rsidR="007A3629" w:rsidRPr="001A7034" w:rsidRDefault="007A3629" w:rsidP="007A3629">
            <w:pPr>
              <w:rPr>
                <w:color w:val="000000"/>
              </w:rPr>
            </w:pPr>
            <w:r w:rsidRPr="001A7034">
              <w:rPr>
                <w:color w:val="000000"/>
              </w:rPr>
              <w:t>Nationally there has been an increase in mental health needs following the pandemic. Therefore during 2023/24 we increased the number of safeguarding support staff available to pupils in school to address low level need, in particular working with emotionally based school avoidance pupils and families. We have continued to secure the partnership with the Pennine Health Care Trust Mental Health Support Team (MHST) to work with pupils to alleviate the need for CAMHS referrals by providing early intervention and low-level targeted support. This integrated working partnership, along with the additional staffing, has allowed increased numbers of pupils to access mental health support quicker within and beyond the academy.</w:t>
            </w:r>
          </w:p>
          <w:p w14:paraId="423D30A2" w14:textId="77777777" w:rsidR="007A3629" w:rsidRPr="001A7034" w:rsidRDefault="007A3629" w:rsidP="007A3629">
            <w:pPr>
              <w:rPr>
                <w:color w:val="000000"/>
              </w:rPr>
            </w:pPr>
          </w:p>
          <w:p w14:paraId="407F7BA3" w14:textId="77777777" w:rsidR="007A3629" w:rsidRPr="00785265" w:rsidRDefault="007A3629" w:rsidP="007A3629">
            <w:pPr>
              <w:rPr>
                <w:b/>
                <w:bCs/>
                <w:color w:val="000000"/>
              </w:rPr>
            </w:pPr>
            <w:r w:rsidRPr="00785265">
              <w:rPr>
                <w:b/>
                <w:bCs/>
                <w:color w:val="000000"/>
              </w:rPr>
              <w:t>Advocacy</w:t>
            </w:r>
          </w:p>
          <w:p w14:paraId="75B6EC4F" w14:textId="77777777" w:rsidR="007A3629" w:rsidRPr="001A7034" w:rsidRDefault="007A3629" w:rsidP="007A3629">
            <w:pPr>
              <w:rPr>
                <w:color w:val="000000"/>
              </w:rPr>
            </w:pPr>
            <w:r w:rsidRPr="001A7034">
              <w:rPr>
                <w:color w:val="000000"/>
              </w:rPr>
              <w:t>In the academic year 2023/24, GAA successfully attained full compliance with the Gatsby benchmarks, achieving 100% across all categories except for Gatsby Benchmark 3, where we reached an impressive 90%. The Academy remains fully aligned with provider access legislation and proudly secured the prestigious Inspiring IAG award for 2023/24. For the 2023/24 cohort, 97% of Year 11 students received post-16 offers, a testament to our commitment to academic progression and student success.</w:t>
            </w:r>
          </w:p>
          <w:p w14:paraId="05949993" w14:textId="77777777" w:rsidR="007A3629" w:rsidRPr="001A7034" w:rsidRDefault="007A3629" w:rsidP="007A3629">
            <w:pPr>
              <w:rPr>
                <w:color w:val="000000"/>
              </w:rPr>
            </w:pPr>
            <w:r w:rsidRPr="001A7034">
              <w:rPr>
                <w:color w:val="000000"/>
              </w:rPr>
              <w:t>We are also honoured to have been conferred the Anchored Schools Gold Award, a distinguished recognition of our excellence in PSHE (Personal, Social, Health, and Economic education), safeguarding, and student wellbeing. This accolade exemplifies our unwavering commitment to cultivating critical attributes such as resilience, empathy, and sound decision-making within our student body.</w:t>
            </w:r>
          </w:p>
          <w:p w14:paraId="30D44E15" w14:textId="610C3B49" w:rsidR="007A3629" w:rsidRPr="001A7034" w:rsidRDefault="007A3629" w:rsidP="007A3629">
            <w:pPr>
              <w:rPr>
                <w:color w:val="000000"/>
              </w:rPr>
            </w:pPr>
            <w:r w:rsidRPr="001A7034">
              <w:rPr>
                <w:color w:val="000000"/>
              </w:rPr>
              <w:t>Our PSHE curriculum, rigorously quality-assured by a leading national expert, is dynamically responsive to the unique and evolving needs of our school community. The collaboration between our Personal Values Lead and Safeguarding Lead ensures that our approach is continuously updated, reflecting the latest guidance, and addressing emerging local challenges to effectively mitigate risks for our pupils. This comprehensive strategy underscores our dedication to fostering a safe, supportive, and forward-thinking educational environment.</w:t>
            </w:r>
          </w:p>
          <w:p w14:paraId="12C57429" w14:textId="72BD1EBF" w:rsidR="007A3629" w:rsidRPr="001A7034" w:rsidRDefault="007A3629" w:rsidP="007A3629">
            <w:pPr>
              <w:rPr>
                <w:color w:val="000000"/>
              </w:rPr>
            </w:pPr>
            <w:r w:rsidRPr="001A7034">
              <w:rPr>
                <w:color w:val="000000"/>
              </w:rPr>
              <w:t xml:space="preserve">GAA has contributed to the educational advancement of over 70 pupils by funding their participation in both national and international trips, thereby reinforcing the learning objectives of GAA's ambitious curriculum. Participation in the second GAET enrichment </w:t>
            </w:r>
            <w:r w:rsidRPr="001A7034">
              <w:rPr>
                <w:color w:val="000000"/>
              </w:rPr>
              <w:lastRenderedPageBreak/>
              <w:t xml:space="preserve">conference was significant; it involved pupils from all GAET schools in the creation of an enrichment program that benefits all pupils, with half of the participants being Pupil Premium pupils. </w:t>
            </w:r>
          </w:p>
          <w:p w14:paraId="4F58DB88" w14:textId="36297DD7" w:rsidR="007A3629" w:rsidRPr="001A7034" w:rsidRDefault="007A3629" w:rsidP="007A3629">
            <w:pPr>
              <w:rPr>
                <w:color w:val="000000"/>
              </w:rPr>
            </w:pPr>
            <w:r w:rsidRPr="001A7034">
              <w:rPr>
                <w:color w:val="000000"/>
              </w:rPr>
              <w:t>Currently, GAA boasts more than 34 ongoing enrichment activities and has a comprehensive strategy planned for September 2023. Data from the 2022/23 academic year indicates that 46% of enrichment activity attendees were PP pupils. To improve this percentage, we will monitor attendance of the cohort in the 2023/24 academic year and target pupils to attend.</w:t>
            </w:r>
          </w:p>
          <w:p w14:paraId="3368A183" w14:textId="76CE9440" w:rsidR="007A3629" w:rsidRPr="001A7034" w:rsidRDefault="007A3629" w:rsidP="007A3629">
            <w:pPr>
              <w:rPr>
                <w:color w:val="000000"/>
              </w:rPr>
            </w:pPr>
            <w:r w:rsidRPr="001A7034">
              <w:rPr>
                <w:color w:val="000000"/>
              </w:rPr>
              <w:t>Data form 2023-24, 32 out of 74 pupils enrolled in our Duke of Edinburgh Award scheme come from disadvantaged backgrounds, with GAA covering their expenses. Translation support during parents’ evenings has contributed to the highest ever attendance recorded at GAA, with a 90% turnout at the final event of the year for Year 9.</w:t>
            </w:r>
          </w:p>
          <w:p w14:paraId="0BA7C12D" w14:textId="10E42CEF" w:rsidR="00B82BA6" w:rsidRPr="00B82BA6" w:rsidRDefault="00B82BA6" w:rsidP="00B82BA6">
            <w:pPr>
              <w:rPr>
                <w:color w:val="000000"/>
              </w:rPr>
            </w:pPr>
            <w:r w:rsidRPr="00B82BA6">
              <w:rPr>
                <w:color w:val="000000"/>
              </w:rPr>
              <w:t xml:space="preserve">The Manchester United Foundation aims to nurture young people to become positive ambassadors and role models within the community, making a meaningful impact within education. There are 265 Pupil Premium participants and 246 Free School Meals participants. GAA provides a school uniform bank, including shoes, and offers a free breakfast club to all pupils. 100% of students enjoyed their experience at Old Trafford, with 50% of students that received tickets, attended a football match for their first time. Of the students that were awarded with tickets, 63% were of Pupil Premium Status. </w:t>
            </w:r>
          </w:p>
          <w:p w14:paraId="556F2CB7" w14:textId="1C9C9432" w:rsidR="00B82BA6" w:rsidRPr="00B82BA6" w:rsidRDefault="00B82BA6" w:rsidP="00B82BA6">
            <w:pPr>
              <w:rPr>
                <w:color w:val="000000"/>
              </w:rPr>
            </w:pPr>
            <w:r w:rsidRPr="00B82BA6">
              <w:rPr>
                <w:color w:val="000000"/>
              </w:rPr>
              <w:t>In partnership with the Manchester United Foundation, we have established a comprehensive program that includes mentoring and leadership opportunities, led by a dedicated youth worker from Manchester United. This initiative also extends to primary school engagement and community outreach. Over half of the participants in these programs are disadvantaged pupils. During a span of 9 weeks on the Year 11 Employability intervention, a strategic approach was taken to involve 6 specific year 11 students who had been actively participating in various forms of mentoring with the SPO since Year 7. These students were chosen to partake in employability workshops designed to enhance their aspirations. Of these 6 students, 67% were identified as being of Pupil Premium status, underscoring the importance of creating a robust pathway for students, ensuring a clear trajectory into post-16 education or employment. The intervention produced noteworthy results.</w:t>
            </w:r>
          </w:p>
          <w:p w14:paraId="7305E5DE" w14:textId="16DF559D" w:rsidR="00B82BA6" w:rsidRPr="00B82BA6" w:rsidRDefault="00B82BA6" w:rsidP="00B82BA6">
            <w:pPr>
              <w:rPr>
                <w:color w:val="000000"/>
              </w:rPr>
            </w:pPr>
            <w:r w:rsidRPr="00B82BA6">
              <w:rPr>
                <w:color w:val="000000"/>
              </w:rPr>
              <w:t xml:space="preserve">After completing the United Minds programme for Social and Emotional Learning (SEL): 92% of students reported being more aware of their mental health and wellbeing 83% of students reported a better understanding of how to look after their mental health and wellbeing 75% of students reported a better understanding of how to keep mentally fit 92% of students said they knew where to go and what to do if they didn’t feel mentally fit. Across 75 sessions, 81 students were engaged in Manchester United Foundation leadership programmes Collectively, students on the programmes </w:t>
            </w:r>
            <w:r w:rsidRPr="00B82BA6">
              <w:rPr>
                <w:color w:val="000000"/>
              </w:rPr>
              <w:lastRenderedPageBreak/>
              <w:t xml:space="preserve">amassed 108 hours of leadership delivery 79% of students to participate reported development of a skill </w:t>
            </w:r>
            <w:proofErr w:type="gramStart"/>
            <w:r w:rsidRPr="00B82BA6">
              <w:rPr>
                <w:color w:val="000000"/>
              </w:rPr>
              <w:t>as a consequence of</w:t>
            </w:r>
            <w:proofErr w:type="gramEnd"/>
            <w:r w:rsidRPr="00B82BA6">
              <w:rPr>
                <w:color w:val="000000"/>
              </w:rPr>
              <w:t xml:space="preserve"> leadership engagement 68% of students to participate reported enhanced confidence or self-esteem as a result of engagement. Year 8 Girls Leadership A total of 14 girls engaged in a ‘Girls Leadership’ intervention, aimed at increasing engagement and attainment at school. Of the students engaged, 43% were of Pupil Premium status.</w:t>
            </w:r>
          </w:p>
          <w:p w14:paraId="5AA6E1E5" w14:textId="2F3B7409" w:rsidR="00B82BA6" w:rsidRPr="00B82BA6" w:rsidRDefault="00B82BA6" w:rsidP="00B82BA6">
            <w:pPr>
              <w:rPr>
                <w:color w:val="000000"/>
              </w:rPr>
            </w:pPr>
            <w:r w:rsidRPr="00B82BA6">
              <w:rPr>
                <w:color w:val="000000"/>
              </w:rPr>
              <w:t xml:space="preserve">As part of the Manchester United Foundation programme across 84 sessions, 77 students were engaged in mentoring, targeted intervention, and personal development programmes. 65% of students showed improved behaviour and/or attendance </w:t>
            </w:r>
            <w:proofErr w:type="gramStart"/>
            <w:r w:rsidRPr="00B82BA6">
              <w:rPr>
                <w:color w:val="000000"/>
              </w:rPr>
              <w:t>as a result of</w:t>
            </w:r>
            <w:proofErr w:type="gramEnd"/>
            <w:r w:rsidRPr="00B82BA6">
              <w:rPr>
                <w:color w:val="000000"/>
              </w:rPr>
              <w:t xml:space="preserve"> participation, 78% of students reported an improved attitude to learning and/or school as a result of participation 73% of students reported improved resilience and/or mental wellbeing as a result of participation. With the SPO working with 9 students relating to improving overall behaviour, 56% being of Pupil Premium status, the intervention strategies have demonstrated effectiveness with 78% of students increasing their number of GREAT points from the previous year. Over the course of a 10-week period for the Year 8 Health and Wellbeing sessions, 18 Year 8 students were invited to participate in a Health and Wellbeing intervention, with 56% being Pupil Premium. Students were selected for reasons such </w:t>
            </w:r>
            <w:proofErr w:type="gramStart"/>
            <w:r w:rsidRPr="00B82BA6">
              <w:rPr>
                <w:color w:val="000000"/>
              </w:rPr>
              <w:t>as;</w:t>
            </w:r>
            <w:proofErr w:type="gramEnd"/>
            <w:r w:rsidRPr="00B82BA6">
              <w:rPr>
                <w:color w:val="000000"/>
              </w:rPr>
              <w:t xml:space="preserve"> low school engagement, low self-perception, poor dietary choices or students with a sedentary lifestyle.</w:t>
            </w:r>
          </w:p>
          <w:p w14:paraId="5BF7EC80" w14:textId="4F34E94E" w:rsidR="00B82BA6" w:rsidRDefault="00B82BA6" w:rsidP="00B82BA6">
            <w:pPr>
              <w:rPr>
                <w:color w:val="000000"/>
              </w:rPr>
            </w:pPr>
            <w:r w:rsidRPr="00B82BA6">
              <w:rPr>
                <w:color w:val="000000"/>
              </w:rPr>
              <w:t xml:space="preserve">Across 180 sessions, a cumulative total of 265 students engaged in Manchester United Foundation extracurricular activity, a total of 200 sessions and 613 students engaged including Street Reds. Collectively, Manchester United Foundation extracurricular clubs generated 215:30 hours of student participation 100% of students to participate reported increased activity levels 75% of students reported an improved attitude towards school </w:t>
            </w:r>
            <w:proofErr w:type="gramStart"/>
            <w:r w:rsidRPr="00B82BA6">
              <w:rPr>
                <w:color w:val="000000"/>
              </w:rPr>
              <w:t>as a result of</w:t>
            </w:r>
            <w:proofErr w:type="gramEnd"/>
            <w:r w:rsidRPr="00B82BA6">
              <w:rPr>
                <w:color w:val="000000"/>
              </w:rPr>
              <w:t xml:space="preserve"> participation. With key focuses of the </w:t>
            </w:r>
            <w:proofErr w:type="gramStart"/>
            <w:r w:rsidRPr="00B82BA6">
              <w:rPr>
                <w:color w:val="000000"/>
              </w:rPr>
              <w:t>Summer</w:t>
            </w:r>
            <w:proofErr w:type="gramEnd"/>
            <w:r w:rsidRPr="00B82BA6">
              <w:rPr>
                <w:color w:val="000000"/>
              </w:rPr>
              <w:t xml:space="preserve"> School delivery being centred around maximising student engagement, sports participation, youth engagement and easing the transition for September, statistics demonstrated success in all target areas. Over a two-week period during the Summer half-term, 87 students that attended of which 45% were of Pupil Premium status. This has highlighted a need for further intervention in targeting specific families during future transition camps.</w:t>
            </w:r>
          </w:p>
          <w:p w14:paraId="5023926C" w14:textId="53B182E8" w:rsidR="0064167B" w:rsidRPr="002F4C6F" w:rsidRDefault="007A3629" w:rsidP="00B82BA6">
            <w:pPr>
              <w:rPr>
                <w:i/>
                <w:iCs/>
                <w:lang w:eastAsia="en-US"/>
              </w:rPr>
            </w:pPr>
            <w:r w:rsidRPr="003B1589">
              <w:rPr>
                <w:color w:val="000000"/>
              </w:rPr>
              <w:t xml:space="preserve">Enrichment opportunities and data reflects proportionate participation between all student groups. Current data suggests that participation in Enrichment activities is proportionate to the school PP data. This is further supported by FSM6 students’ attendance figures. </w:t>
            </w:r>
          </w:p>
        </w:tc>
      </w:tr>
    </w:tbl>
    <w:p w14:paraId="2A7D5548" w14:textId="0199D85C" w:rsidR="00E66558" w:rsidRDefault="006D6372" w:rsidP="00A82A98">
      <w:pPr>
        <w:pStyle w:val="Heading2"/>
      </w:pPr>
      <w:r>
        <w:lastRenderedPageBreak/>
        <w:t>E</w:t>
      </w:r>
      <w:r w:rsidR="009D71E8">
        <w:t xml:space="preserve">xternally provided </w:t>
      </w:r>
      <w:proofErr w:type="gramStart"/>
      <w:r w:rsidR="009D71E8" w:rsidRPr="00781713">
        <w:t>programmes</w:t>
      </w:r>
      <w:proofErr w:type="gramEnd"/>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01D53"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39BAB73" w:rsidR="00E01D53" w:rsidRPr="00E01D53" w:rsidRDefault="00E01D53" w:rsidP="00E01D53">
            <w:pPr>
              <w:pStyle w:val="TableRow"/>
              <w:ind w:left="0" w:right="0"/>
              <w:rPr>
                <w:rFonts w:cs="Arial"/>
              </w:rPr>
            </w:pPr>
            <w:r w:rsidRPr="00E01D53">
              <w:rPr>
                <w:rFonts w:cs="Arial"/>
                <w:color w:val="auto"/>
              </w:rPr>
              <w:t>Man</w:t>
            </w:r>
            <w:r w:rsidR="00336990">
              <w:rPr>
                <w:rFonts w:cs="Arial"/>
                <w:color w:val="auto"/>
              </w:rPr>
              <w:t>chester</w:t>
            </w:r>
            <w:r w:rsidRPr="00E01D53">
              <w:rPr>
                <w:rFonts w:cs="Arial"/>
                <w:color w:val="auto"/>
              </w:rPr>
              <w:t xml:space="preserve"> United Foundation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2D9DF03" w:rsidR="00E01D53" w:rsidRPr="00E01D53" w:rsidRDefault="00E01D53" w:rsidP="00E01D53">
            <w:pPr>
              <w:pStyle w:val="TableRowCentered"/>
              <w:ind w:left="0" w:right="0"/>
              <w:jc w:val="left"/>
              <w:rPr>
                <w:rFonts w:cs="Arial"/>
                <w:szCs w:val="24"/>
              </w:rPr>
            </w:pPr>
            <w:r w:rsidRPr="00E01D53">
              <w:rPr>
                <w:rFonts w:cs="Arial"/>
                <w:color w:val="auto"/>
                <w:szCs w:val="24"/>
              </w:rPr>
              <w:t>https://www.mufoundation.org/</w:t>
            </w:r>
          </w:p>
        </w:tc>
      </w:tr>
      <w:tr w:rsidR="00E01D53"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B4D4897" w:rsidR="00E01D53" w:rsidRPr="00E01D53" w:rsidRDefault="00E01D53" w:rsidP="00E01D53">
            <w:pPr>
              <w:pStyle w:val="TableRow"/>
              <w:ind w:left="0" w:right="0"/>
              <w:rPr>
                <w:rFonts w:cs="Arial"/>
              </w:rPr>
            </w:pPr>
            <w:r w:rsidRPr="00E01D53">
              <w:rPr>
                <w:rFonts w:cs="Arial"/>
                <w:color w:val="auto"/>
              </w:rPr>
              <w:t>Seneca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EE67BCE" w:rsidR="00E01D53" w:rsidRPr="00E01D53" w:rsidRDefault="00E01D53" w:rsidP="00E01D53">
            <w:pPr>
              <w:pStyle w:val="TableRowCentered"/>
              <w:ind w:left="0" w:right="0"/>
              <w:jc w:val="left"/>
              <w:rPr>
                <w:rFonts w:cs="Arial"/>
                <w:szCs w:val="24"/>
              </w:rPr>
            </w:pPr>
            <w:r w:rsidRPr="00E01D53">
              <w:rPr>
                <w:rFonts w:cs="Arial"/>
                <w:color w:val="auto"/>
                <w:szCs w:val="24"/>
              </w:rPr>
              <w:t>https://senecalearning.com/en-GB</w:t>
            </w:r>
          </w:p>
        </w:tc>
      </w:tr>
      <w:tr w:rsidR="00E01D53" w14:paraId="299861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BBFC9" w14:textId="55DF2309" w:rsidR="00E01D53" w:rsidRPr="00E01D53" w:rsidRDefault="00E01D53" w:rsidP="00E01D53">
            <w:pPr>
              <w:pStyle w:val="TableRow"/>
              <w:ind w:left="0" w:right="0"/>
              <w:rPr>
                <w:rFonts w:cs="Arial"/>
                <w:color w:val="auto"/>
              </w:rPr>
            </w:pPr>
            <w:r w:rsidRPr="00E01D53">
              <w:rPr>
                <w:rFonts w:cs="Arial"/>
                <w:color w:val="auto"/>
              </w:rPr>
              <w:t>GCSE Pod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6945" w14:textId="6C4FFB31" w:rsidR="00E01D53" w:rsidRPr="00E01D53" w:rsidRDefault="00E01D53" w:rsidP="00E01D53">
            <w:pPr>
              <w:pStyle w:val="TableRowCentered"/>
              <w:ind w:left="0" w:right="0"/>
              <w:jc w:val="left"/>
              <w:rPr>
                <w:rFonts w:cs="Arial"/>
                <w:color w:val="auto"/>
                <w:szCs w:val="24"/>
              </w:rPr>
            </w:pPr>
            <w:r w:rsidRPr="00E01D53">
              <w:rPr>
                <w:rFonts w:cs="Arial"/>
                <w:color w:val="auto"/>
                <w:szCs w:val="24"/>
              </w:rPr>
              <w:t>https://www.gcsepod.com/</w:t>
            </w:r>
          </w:p>
        </w:tc>
      </w:tr>
      <w:tr w:rsidR="00E01D53" w14:paraId="0FF8780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3DC1F" w14:textId="4A2076EF" w:rsidR="00E01D53" w:rsidRPr="00E01D53" w:rsidRDefault="00E01D53" w:rsidP="00E01D53">
            <w:pPr>
              <w:pStyle w:val="TableRow"/>
              <w:ind w:left="0" w:right="0"/>
              <w:rPr>
                <w:rFonts w:cs="Arial"/>
                <w:color w:val="auto"/>
              </w:rPr>
            </w:pPr>
            <w:r w:rsidRPr="00E01D53">
              <w:rPr>
                <w:rFonts w:cs="Arial"/>
                <w:color w:val="auto"/>
              </w:rPr>
              <w:t>Century Tech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05778" w14:textId="5A7F8DFB" w:rsidR="00E01D53" w:rsidRPr="00E01D53" w:rsidRDefault="00E01D53" w:rsidP="00E01D53">
            <w:pPr>
              <w:pStyle w:val="TableRowCentered"/>
              <w:ind w:left="0" w:right="0"/>
              <w:jc w:val="left"/>
              <w:rPr>
                <w:rFonts w:cs="Arial"/>
                <w:color w:val="auto"/>
                <w:szCs w:val="24"/>
              </w:rPr>
            </w:pPr>
            <w:r w:rsidRPr="00E01D53">
              <w:rPr>
                <w:rFonts w:cs="Arial"/>
                <w:color w:val="auto"/>
                <w:szCs w:val="24"/>
              </w:rPr>
              <w:t>https://www.century.tech/</w:t>
            </w:r>
          </w:p>
        </w:tc>
      </w:tr>
      <w:tr w:rsidR="00E01D53" w14:paraId="6FB2E0B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7F551" w14:textId="3C64CBD1" w:rsidR="00E01D53" w:rsidRPr="00E01D53" w:rsidRDefault="00E01D53" w:rsidP="00E01D53">
            <w:pPr>
              <w:pStyle w:val="TableRow"/>
              <w:ind w:left="0" w:right="0"/>
              <w:rPr>
                <w:rFonts w:cs="Arial"/>
                <w:color w:val="auto"/>
              </w:rPr>
            </w:pPr>
            <w:r w:rsidRPr="00E01D53">
              <w:rPr>
                <w:rFonts w:cs="Arial"/>
                <w:color w:val="auto"/>
              </w:rPr>
              <w:t>Language Nut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B02B1" w14:textId="01EBE5F9" w:rsidR="00E01D53" w:rsidRPr="00E01D53" w:rsidRDefault="00E01D53" w:rsidP="00E01D53">
            <w:pPr>
              <w:pStyle w:val="TableRowCentered"/>
              <w:ind w:left="0" w:right="0"/>
              <w:jc w:val="left"/>
              <w:rPr>
                <w:rFonts w:cs="Arial"/>
                <w:color w:val="auto"/>
                <w:szCs w:val="24"/>
              </w:rPr>
            </w:pPr>
            <w:r w:rsidRPr="00E01D53">
              <w:rPr>
                <w:rFonts w:cs="Arial"/>
                <w:color w:val="auto"/>
                <w:szCs w:val="24"/>
              </w:rPr>
              <w:t>https://www.languagenut.com/en-gb/</w:t>
            </w:r>
          </w:p>
        </w:tc>
      </w:tr>
      <w:tr w:rsidR="00E01D53" w14:paraId="5F475EC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9FB75" w14:textId="500AC3A4" w:rsidR="00E01D53" w:rsidRPr="00E01D53" w:rsidRDefault="00E01D53" w:rsidP="00E01D53">
            <w:pPr>
              <w:pStyle w:val="TableRow"/>
              <w:ind w:left="0" w:right="0"/>
              <w:rPr>
                <w:rFonts w:cs="Arial"/>
                <w:color w:val="auto"/>
              </w:rPr>
            </w:pPr>
            <w:r w:rsidRPr="00E01D53">
              <w:rPr>
                <w:rFonts w:cs="Arial"/>
                <w:color w:val="auto"/>
              </w:rPr>
              <w:t>Maths Ninja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07579" w14:textId="480046E4" w:rsidR="00E01D53" w:rsidRPr="00E01D53" w:rsidRDefault="00E01D53" w:rsidP="00E01D53">
            <w:pPr>
              <w:pStyle w:val="TableRowCentered"/>
              <w:ind w:left="0" w:right="0"/>
              <w:jc w:val="left"/>
              <w:rPr>
                <w:rFonts w:cs="Arial"/>
                <w:color w:val="auto"/>
                <w:szCs w:val="24"/>
              </w:rPr>
            </w:pPr>
            <w:r w:rsidRPr="00E01D53">
              <w:rPr>
                <w:rFonts w:cs="Arial"/>
                <w:color w:val="auto"/>
                <w:szCs w:val="24"/>
              </w:rPr>
              <w:t>https://www.numeracyninjas.org/</w:t>
            </w:r>
          </w:p>
        </w:tc>
      </w:tr>
      <w:tr w:rsidR="00E01D53" w14:paraId="38C27FF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98062" w14:textId="18B46BCB" w:rsidR="00E01D53" w:rsidRPr="00E01D53" w:rsidRDefault="00E01D53" w:rsidP="00E01D53">
            <w:pPr>
              <w:pStyle w:val="TableRow"/>
              <w:ind w:left="0" w:right="0"/>
              <w:rPr>
                <w:rFonts w:cs="Arial"/>
                <w:color w:val="auto"/>
              </w:rPr>
            </w:pPr>
            <w:r w:rsidRPr="00E01D53">
              <w:rPr>
                <w:rFonts w:cs="Arial"/>
                <w:color w:val="auto"/>
              </w:rPr>
              <w:t>Pupil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FA3B" w14:textId="5C9819A5" w:rsidR="00E01D53" w:rsidRPr="00E01D53" w:rsidRDefault="00E01D53" w:rsidP="00E01D53">
            <w:pPr>
              <w:pStyle w:val="TableRowCentered"/>
              <w:ind w:left="0" w:right="0"/>
              <w:jc w:val="left"/>
              <w:rPr>
                <w:rFonts w:cs="Arial"/>
                <w:color w:val="auto"/>
                <w:szCs w:val="24"/>
              </w:rPr>
            </w:pPr>
            <w:r w:rsidRPr="00E01D53">
              <w:rPr>
                <w:rFonts w:cs="Arial"/>
                <w:color w:val="auto"/>
                <w:szCs w:val="24"/>
              </w:rPr>
              <w:t>https://www.pupilprogress.com/</w:t>
            </w:r>
          </w:p>
        </w:tc>
      </w:tr>
      <w:tr w:rsidR="00E01D53" w14:paraId="7AB5D38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64ED" w14:textId="2C80E458" w:rsidR="00E01D53" w:rsidRPr="00E01D53" w:rsidRDefault="00E01D53" w:rsidP="00E01D53">
            <w:pPr>
              <w:pStyle w:val="TableRow"/>
              <w:ind w:left="0" w:right="0"/>
              <w:rPr>
                <w:rFonts w:cs="Arial"/>
                <w:color w:val="auto"/>
              </w:rPr>
            </w:pPr>
            <w:r w:rsidRPr="00E01D53">
              <w:rPr>
                <w:rFonts w:cs="Arial"/>
                <w:color w:val="auto"/>
              </w:rPr>
              <w:t>School Cloud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7B34A" w14:textId="67C4D903" w:rsidR="00E01D53" w:rsidRPr="00E01D53" w:rsidRDefault="00E01D53" w:rsidP="00E01D53">
            <w:pPr>
              <w:pStyle w:val="TableRowCentered"/>
              <w:ind w:left="0" w:right="0"/>
              <w:jc w:val="left"/>
              <w:rPr>
                <w:rFonts w:cs="Arial"/>
                <w:color w:val="auto"/>
                <w:szCs w:val="24"/>
              </w:rPr>
            </w:pPr>
            <w:r w:rsidRPr="00E01D53">
              <w:rPr>
                <w:rFonts w:cs="Arial"/>
                <w:color w:val="auto"/>
                <w:szCs w:val="24"/>
              </w:rPr>
              <w:t>https://www.schoolcloud.co.uk/</w:t>
            </w:r>
          </w:p>
        </w:tc>
      </w:tr>
      <w:tr w:rsidR="00E01D53" w14:paraId="39A297A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3BAA" w14:textId="2D9FD7BA" w:rsidR="00E01D53" w:rsidRPr="00E01D53" w:rsidRDefault="00E01D53" w:rsidP="00E01D53">
            <w:pPr>
              <w:pStyle w:val="TableRow"/>
              <w:ind w:left="0" w:right="0"/>
              <w:rPr>
                <w:rFonts w:cs="Arial"/>
                <w:color w:val="auto"/>
              </w:rPr>
            </w:pPr>
            <w:r w:rsidRPr="00E01D53">
              <w:rPr>
                <w:rFonts w:cs="Arial"/>
                <w:color w:val="auto"/>
              </w:rPr>
              <w:t xml:space="preserve">Maths Watch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D613" w14:textId="6823C50C" w:rsidR="00E01D53" w:rsidRPr="00E01D53" w:rsidRDefault="00B82BA6" w:rsidP="00E01D53">
            <w:pPr>
              <w:pStyle w:val="TableRowCentered"/>
              <w:ind w:left="0" w:right="0"/>
              <w:jc w:val="left"/>
              <w:rPr>
                <w:rFonts w:cs="Arial"/>
                <w:color w:val="auto"/>
                <w:szCs w:val="24"/>
              </w:rPr>
            </w:pPr>
            <w:hyperlink r:id="rId56" w:tgtFrame="_blank" w:tooltip="Original URL: https://vle.mathswatch.co.uk/vle/. Click or tap if you trust this link." w:history="1">
              <w:r w:rsidR="00E01D53" w:rsidRPr="00E01D53">
                <w:rPr>
                  <w:rStyle w:val="Hyperlink"/>
                  <w:rFonts w:cs="Arial"/>
                  <w:color w:val="auto"/>
                  <w:szCs w:val="24"/>
                  <w:bdr w:val="none" w:sz="0" w:space="0" w:color="auto" w:frame="1"/>
                  <w:shd w:val="clear" w:color="auto" w:fill="FFFFFF"/>
                </w:rPr>
                <w:t>https://vle.</w:t>
              </w:r>
              <w:r w:rsidR="00E01D53" w:rsidRPr="00E01D53">
                <w:rPr>
                  <w:rStyle w:val="markvbbd7y8es"/>
                  <w:rFonts w:cs="Arial"/>
                  <w:color w:val="auto"/>
                  <w:szCs w:val="24"/>
                  <w:u w:val="single"/>
                  <w:bdr w:val="none" w:sz="0" w:space="0" w:color="auto" w:frame="1"/>
                  <w:shd w:val="clear" w:color="auto" w:fill="FFFFFF"/>
                </w:rPr>
                <w:t>m</w:t>
              </w:r>
              <w:r w:rsidR="00E01D53" w:rsidRPr="00E01D53">
                <w:rPr>
                  <w:rStyle w:val="Hyperlink"/>
                  <w:rFonts w:cs="Arial"/>
                  <w:color w:val="auto"/>
                  <w:szCs w:val="24"/>
                  <w:bdr w:val="none" w:sz="0" w:space="0" w:color="auto" w:frame="1"/>
                  <w:shd w:val="clear" w:color="auto" w:fill="FFFFFF"/>
                </w:rPr>
                <w:t>athswatch.co.uk/vle/</w:t>
              </w:r>
            </w:hyperlink>
          </w:p>
        </w:tc>
      </w:tr>
      <w:tr w:rsidR="00E01D53" w14:paraId="24FF226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13016" w14:textId="6AD736D5" w:rsidR="00E01D53" w:rsidRPr="00E01D53" w:rsidRDefault="00E01D53" w:rsidP="00E01D53">
            <w:pPr>
              <w:pStyle w:val="TableRow"/>
              <w:ind w:left="0" w:right="0"/>
              <w:rPr>
                <w:rFonts w:cs="Arial"/>
                <w:color w:val="auto"/>
              </w:rPr>
            </w:pPr>
            <w:r w:rsidRPr="00E01D53">
              <w:rPr>
                <w:rFonts w:cs="Arial"/>
                <w:color w:val="auto"/>
              </w:rPr>
              <w:t>Learning by Questions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80C6" w14:textId="5D5F87C8" w:rsidR="00E01D53" w:rsidRPr="00E01D53" w:rsidRDefault="00B82BA6" w:rsidP="00E01D53">
            <w:pPr>
              <w:pStyle w:val="TableRowCentered"/>
              <w:ind w:left="0" w:right="0"/>
              <w:jc w:val="left"/>
              <w:rPr>
                <w:rFonts w:cs="Arial"/>
                <w:szCs w:val="24"/>
              </w:rPr>
            </w:pPr>
            <w:hyperlink r:id="rId57" w:history="1">
              <w:r w:rsidR="00E01D53" w:rsidRPr="00E01D53">
                <w:rPr>
                  <w:rStyle w:val="Hyperlink"/>
                  <w:rFonts w:cs="Arial"/>
                  <w:color w:val="auto"/>
                  <w:szCs w:val="24"/>
                </w:rPr>
                <w:t xml:space="preserve">Learning by Questions | </w:t>
              </w:r>
              <w:proofErr w:type="spellStart"/>
              <w:r w:rsidR="00E01D53" w:rsidRPr="00E01D53">
                <w:rPr>
                  <w:rStyle w:val="Hyperlink"/>
                  <w:rFonts w:cs="Arial"/>
                  <w:color w:val="auto"/>
                  <w:szCs w:val="24"/>
                </w:rPr>
                <w:t>LbQ</w:t>
              </w:r>
              <w:proofErr w:type="spellEnd"/>
            </w:hyperlink>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3A085EC0" w14:textId="07479D27" w:rsidR="00C00B58" w:rsidRDefault="00C00B58" w:rsidP="00C00B58">
            <w:r>
              <w:t>A dedicated member of staff is available to support service pupils, with any issues as and when needed.  Case study evidence available.</w:t>
            </w:r>
          </w:p>
          <w:p w14:paraId="5AA67344" w14:textId="6890B32B" w:rsidR="00ED5108" w:rsidRDefault="00C00B58" w:rsidP="00C00B58">
            <w:r>
              <w:t>Member of SLT oversees progress, welfare, and attainment of service PP pupils</w:t>
            </w:r>
          </w:p>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6AEEAA68" w:rsidR="00ED5108" w:rsidRDefault="00411E5E" w:rsidP="00F54FCB">
            <w:r w:rsidRPr="00411E5E">
              <w:t>No notable gaps in progress, attainment, or attendance.</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A9BAE22"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4"/>
      <w:bookmarkEnd w:id="15"/>
      <w:bookmarkEnd w:id="16"/>
    </w:tbl>
    <w:p w14:paraId="2A7D5564" w14:textId="77777777" w:rsidR="00E66558" w:rsidRDefault="00E66558"/>
    <w:sectPr w:rsidR="00E66558">
      <w:headerReference w:type="default" r:id="rId58"/>
      <w:footerReference w:type="default" r:id="rId5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C3F9" w14:textId="77777777" w:rsidR="00AB608F" w:rsidRDefault="00AB608F">
      <w:pPr>
        <w:spacing w:after="0" w:line="240" w:lineRule="auto"/>
      </w:pPr>
      <w:r>
        <w:separator/>
      </w:r>
    </w:p>
  </w:endnote>
  <w:endnote w:type="continuationSeparator" w:id="0">
    <w:p w14:paraId="07D0CE98" w14:textId="77777777" w:rsidR="00AB608F" w:rsidRDefault="00AB608F">
      <w:pPr>
        <w:spacing w:after="0" w:line="240" w:lineRule="auto"/>
      </w:pPr>
      <w:r>
        <w:continuationSeparator/>
      </w:r>
    </w:p>
  </w:endnote>
  <w:endnote w:type="continuationNotice" w:id="1">
    <w:p w14:paraId="377F363A" w14:textId="77777777" w:rsidR="00AB608F" w:rsidRDefault="00AB6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44E6" w14:textId="77777777" w:rsidR="00AB608F" w:rsidRDefault="00AB608F">
      <w:pPr>
        <w:spacing w:after="0" w:line="240" w:lineRule="auto"/>
      </w:pPr>
      <w:r>
        <w:separator/>
      </w:r>
    </w:p>
  </w:footnote>
  <w:footnote w:type="continuationSeparator" w:id="0">
    <w:p w14:paraId="56E10DC9" w14:textId="77777777" w:rsidR="00AB608F" w:rsidRDefault="00AB608F">
      <w:pPr>
        <w:spacing w:after="0" w:line="240" w:lineRule="auto"/>
      </w:pPr>
      <w:r>
        <w:continuationSeparator/>
      </w:r>
    </w:p>
  </w:footnote>
  <w:footnote w:type="continuationNotice" w:id="1">
    <w:p w14:paraId="6BBACD05" w14:textId="77777777" w:rsidR="00AB608F" w:rsidRDefault="00AB60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0090"/>
    <w:multiLevelType w:val="hybridMultilevel"/>
    <w:tmpl w:val="9E6AAED4"/>
    <w:lvl w:ilvl="0" w:tplc="08090005">
      <w:start w:val="1"/>
      <w:numFmt w:val="bullet"/>
      <w:lvlText w:val=""/>
      <w:lvlJc w:val="left"/>
      <w:pPr>
        <w:ind w:left="2577" w:hanging="360"/>
      </w:pPr>
      <w:rPr>
        <w:rFonts w:ascii="Wingdings" w:hAnsi="Wingdings" w:hint="default"/>
      </w:rPr>
    </w:lvl>
    <w:lvl w:ilvl="1" w:tplc="08090003" w:tentative="1">
      <w:start w:val="1"/>
      <w:numFmt w:val="bullet"/>
      <w:lvlText w:val="o"/>
      <w:lvlJc w:val="left"/>
      <w:pPr>
        <w:ind w:left="3297" w:hanging="360"/>
      </w:pPr>
      <w:rPr>
        <w:rFonts w:ascii="Courier New" w:hAnsi="Courier New" w:cs="Courier New" w:hint="default"/>
      </w:rPr>
    </w:lvl>
    <w:lvl w:ilvl="2" w:tplc="08090005" w:tentative="1">
      <w:start w:val="1"/>
      <w:numFmt w:val="bullet"/>
      <w:lvlText w:val=""/>
      <w:lvlJc w:val="left"/>
      <w:pPr>
        <w:ind w:left="4017" w:hanging="360"/>
      </w:pPr>
      <w:rPr>
        <w:rFonts w:ascii="Wingdings" w:hAnsi="Wingdings" w:hint="default"/>
      </w:rPr>
    </w:lvl>
    <w:lvl w:ilvl="3" w:tplc="08090001" w:tentative="1">
      <w:start w:val="1"/>
      <w:numFmt w:val="bullet"/>
      <w:lvlText w:val=""/>
      <w:lvlJc w:val="left"/>
      <w:pPr>
        <w:ind w:left="4737" w:hanging="360"/>
      </w:pPr>
      <w:rPr>
        <w:rFonts w:ascii="Symbol" w:hAnsi="Symbol" w:hint="default"/>
      </w:rPr>
    </w:lvl>
    <w:lvl w:ilvl="4" w:tplc="08090003" w:tentative="1">
      <w:start w:val="1"/>
      <w:numFmt w:val="bullet"/>
      <w:lvlText w:val="o"/>
      <w:lvlJc w:val="left"/>
      <w:pPr>
        <w:ind w:left="5457" w:hanging="360"/>
      </w:pPr>
      <w:rPr>
        <w:rFonts w:ascii="Courier New" w:hAnsi="Courier New" w:cs="Courier New" w:hint="default"/>
      </w:rPr>
    </w:lvl>
    <w:lvl w:ilvl="5" w:tplc="08090005" w:tentative="1">
      <w:start w:val="1"/>
      <w:numFmt w:val="bullet"/>
      <w:lvlText w:val=""/>
      <w:lvlJc w:val="left"/>
      <w:pPr>
        <w:ind w:left="6177" w:hanging="360"/>
      </w:pPr>
      <w:rPr>
        <w:rFonts w:ascii="Wingdings" w:hAnsi="Wingdings" w:hint="default"/>
      </w:rPr>
    </w:lvl>
    <w:lvl w:ilvl="6" w:tplc="08090001" w:tentative="1">
      <w:start w:val="1"/>
      <w:numFmt w:val="bullet"/>
      <w:lvlText w:val=""/>
      <w:lvlJc w:val="left"/>
      <w:pPr>
        <w:ind w:left="6897" w:hanging="360"/>
      </w:pPr>
      <w:rPr>
        <w:rFonts w:ascii="Symbol" w:hAnsi="Symbol" w:hint="default"/>
      </w:rPr>
    </w:lvl>
    <w:lvl w:ilvl="7" w:tplc="08090003" w:tentative="1">
      <w:start w:val="1"/>
      <w:numFmt w:val="bullet"/>
      <w:lvlText w:val="o"/>
      <w:lvlJc w:val="left"/>
      <w:pPr>
        <w:ind w:left="7617" w:hanging="360"/>
      </w:pPr>
      <w:rPr>
        <w:rFonts w:ascii="Courier New" w:hAnsi="Courier New" w:cs="Courier New" w:hint="default"/>
      </w:rPr>
    </w:lvl>
    <w:lvl w:ilvl="8" w:tplc="08090005" w:tentative="1">
      <w:start w:val="1"/>
      <w:numFmt w:val="bullet"/>
      <w:lvlText w:val=""/>
      <w:lvlJc w:val="left"/>
      <w:pPr>
        <w:ind w:left="83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8A405AC"/>
    <w:multiLevelType w:val="hybridMultilevel"/>
    <w:tmpl w:val="F9CEE1B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1590A82"/>
    <w:multiLevelType w:val="hybridMultilevel"/>
    <w:tmpl w:val="8924AE4E"/>
    <w:lvl w:ilvl="0" w:tplc="508A1626">
      <w:numFmt w:val="bullet"/>
      <w:lvlText w:val="•"/>
      <w:lvlJc w:val="left"/>
      <w:pPr>
        <w:ind w:left="774" w:hanging="6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37A2649"/>
    <w:multiLevelType w:val="hybridMultilevel"/>
    <w:tmpl w:val="E95ADCB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6F54465"/>
    <w:multiLevelType w:val="hybridMultilevel"/>
    <w:tmpl w:val="0D60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29B2C30"/>
    <w:multiLevelType w:val="hybridMultilevel"/>
    <w:tmpl w:val="D50E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F47F1"/>
    <w:multiLevelType w:val="hybridMultilevel"/>
    <w:tmpl w:val="70388A1A"/>
    <w:lvl w:ilvl="0" w:tplc="508A1626">
      <w:numFmt w:val="bullet"/>
      <w:lvlText w:val="•"/>
      <w:lvlJc w:val="left"/>
      <w:pPr>
        <w:ind w:left="774" w:hanging="6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36FB6F09"/>
    <w:multiLevelType w:val="hybridMultilevel"/>
    <w:tmpl w:val="0130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1407FB4"/>
    <w:multiLevelType w:val="hybridMultilevel"/>
    <w:tmpl w:val="E380591A"/>
    <w:lvl w:ilvl="0" w:tplc="508A1626">
      <w:numFmt w:val="bullet"/>
      <w:lvlText w:val="•"/>
      <w:lvlJc w:val="left"/>
      <w:pPr>
        <w:ind w:left="717" w:hanging="6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C46B5"/>
    <w:multiLevelType w:val="hybridMultilevel"/>
    <w:tmpl w:val="87DEB4D6"/>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676024F"/>
    <w:multiLevelType w:val="hybridMultilevel"/>
    <w:tmpl w:val="5BD8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AEB7B91"/>
    <w:multiLevelType w:val="hybridMultilevel"/>
    <w:tmpl w:val="6E320C10"/>
    <w:lvl w:ilvl="0" w:tplc="08090001">
      <w:start w:val="1"/>
      <w:numFmt w:val="bullet"/>
      <w:lvlText w:val=""/>
      <w:lvlJc w:val="left"/>
      <w:pPr>
        <w:ind w:left="720" w:hanging="360"/>
      </w:pPr>
      <w:rPr>
        <w:rFonts w:ascii="Symbol" w:hAnsi="Symbol" w:hint="default"/>
      </w:rPr>
    </w:lvl>
    <w:lvl w:ilvl="1" w:tplc="442E2FB0">
      <w:numFmt w:val="bullet"/>
      <w:lvlText w:val="•"/>
      <w:lvlJc w:val="left"/>
      <w:pPr>
        <w:ind w:left="1740" w:hanging="6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30932"/>
    <w:multiLevelType w:val="hybridMultilevel"/>
    <w:tmpl w:val="412484F8"/>
    <w:lvl w:ilvl="0" w:tplc="08090001">
      <w:start w:val="1"/>
      <w:numFmt w:val="bullet"/>
      <w:lvlText w:val=""/>
      <w:lvlJc w:val="left"/>
      <w:pPr>
        <w:ind w:left="774" w:hanging="660"/>
      </w:pPr>
      <w:rPr>
        <w:rFonts w:ascii="Symbol" w:hAnsi="Symbo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57012D2"/>
    <w:multiLevelType w:val="hybridMultilevel"/>
    <w:tmpl w:val="4FCA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A3926D0"/>
    <w:multiLevelType w:val="hybridMultilevel"/>
    <w:tmpl w:val="853E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1259">
    <w:abstractNumId w:val="9"/>
  </w:num>
  <w:num w:numId="2" w16cid:durableId="1628730595">
    <w:abstractNumId w:val="5"/>
  </w:num>
  <w:num w:numId="3" w16cid:durableId="497188144">
    <w:abstractNumId w:val="10"/>
  </w:num>
  <w:num w:numId="4" w16cid:durableId="1138914232">
    <w:abstractNumId w:val="12"/>
  </w:num>
  <w:num w:numId="5" w16cid:durableId="857932188">
    <w:abstractNumId w:val="1"/>
  </w:num>
  <w:num w:numId="6" w16cid:durableId="798501009">
    <w:abstractNumId w:val="16"/>
  </w:num>
  <w:num w:numId="7" w16cid:durableId="1210847263">
    <w:abstractNumId w:val="23"/>
  </w:num>
  <w:num w:numId="8" w16cid:durableId="982348153">
    <w:abstractNumId w:val="30"/>
  </w:num>
  <w:num w:numId="9" w16cid:durableId="1529290868">
    <w:abstractNumId w:val="27"/>
  </w:num>
  <w:num w:numId="10" w16cid:durableId="1171066271">
    <w:abstractNumId w:val="26"/>
  </w:num>
  <w:num w:numId="11" w16cid:durableId="1453552857">
    <w:abstractNumId w:val="6"/>
  </w:num>
  <w:num w:numId="12" w16cid:durableId="1812097430">
    <w:abstractNumId w:val="28"/>
  </w:num>
  <w:num w:numId="13" w16cid:durableId="42288650">
    <w:abstractNumId w:val="21"/>
  </w:num>
  <w:num w:numId="14" w16cid:durableId="1721712531">
    <w:abstractNumId w:val="18"/>
  </w:num>
  <w:num w:numId="15" w16cid:durableId="1235432793">
    <w:abstractNumId w:val="4"/>
  </w:num>
  <w:num w:numId="16" w16cid:durableId="884678859">
    <w:abstractNumId w:val="2"/>
  </w:num>
  <w:num w:numId="17" w16cid:durableId="826165421">
    <w:abstractNumId w:val="20"/>
  </w:num>
  <w:num w:numId="18" w16cid:durableId="862479049">
    <w:abstractNumId w:val="31"/>
  </w:num>
  <w:num w:numId="19" w16cid:durableId="1379009870">
    <w:abstractNumId w:val="17"/>
  </w:num>
  <w:num w:numId="20" w16cid:durableId="2030372665">
    <w:abstractNumId w:val="14"/>
  </w:num>
  <w:num w:numId="21" w16cid:durableId="751200613">
    <w:abstractNumId w:val="7"/>
  </w:num>
  <w:num w:numId="22" w16cid:durableId="1839730736">
    <w:abstractNumId w:val="19"/>
  </w:num>
  <w:num w:numId="23" w16cid:durableId="121927557">
    <w:abstractNumId w:val="0"/>
  </w:num>
  <w:num w:numId="24" w16cid:durableId="1940601266">
    <w:abstractNumId w:val="3"/>
  </w:num>
  <w:num w:numId="25" w16cid:durableId="1668629508">
    <w:abstractNumId w:val="25"/>
  </w:num>
  <w:num w:numId="26" w16cid:durableId="2125537821">
    <w:abstractNumId w:val="24"/>
  </w:num>
  <w:num w:numId="27" w16cid:durableId="54664230">
    <w:abstractNumId w:val="8"/>
  </w:num>
  <w:num w:numId="28" w16cid:durableId="896163913">
    <w:abstractNumId w:val="11"/>
  </w:num>
  <w:num w:numId="29" w16cid:durableId="400905574">
    <w:abstractNumId w:val="22"/>
  </w:num>
  <w:num w:numId="30" w16cid:durableId="217712904">
    <w:abstractNumId w:val="15"/>
  </w:num>
  <w:num w:numId="31" w16cid:durableId="1100376380">
    <w:abstractNumId w:val="29"/>
  </w:num>
  <w:num w:numId="32" w16cid:durableId="11986621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1DB0"/>
    <w:rsid w:val="00023729"/>
    <w:rsid w:val="0002373D"/>
    <w:rsid w:val="000243B4"/>
    <w:rsid w:val="0002530E"/>
    <w:rsid w:val="0002710D"/>
    <w:rsid w:val="00031EA0"/>
    <w:rsid w:val="00036678"/>
    <w:rsid w:val="00043274"/>
    <w:rsid w:val="000452EB"/>
    <w:rsid w:val="00045603"/>
    <w:rsid w:val="000463AE"/>
    <w:rsid w:val="000507A3"/>
    <w:rsid w:val="00060A62"/>
    <w:rsid w:val="00064366"/>
    <w:rsid w:val="00066B73"/>
    <w:rsid w:val="0007116E"/>
    <w:rsid w:val="00071481"/>
    <w:rsid w:val="00071D77"/>
    <w:rsid w:val="00075FAE"/>
    <w:rsid w:val="00082848"/>
    <w:rsid w:val="00082F38"/>
    <w:rsid w:val="000837DB"/>
    <w:rsid w:val="0008384B"/>
    <w:rsid w:val="00086D49"/>
    <w:rsid w:val="000929EC"/>
    <w:rsid w:val="00093CDE"/>
    <w:rsid w:val="00095FD6"/>
    <w:rsid w:val="000A5C58"/>
    <w:rsid w:val="000A6379"/>
    <w:rsid w:val="000B0D49"/>
    <w:rsid w:val="000B203E"/>
    <w:rsid w:val="000C3E2E"/>
    <w:rsid w:val="000C70C8"/>
    <w:rsid w:val="000D22B0"/>
    <w:rsid w:val="000D254E"/>
    <w:rsid w:val="000D318D"/>
    <w:rsid w:val="000D35C9"/>
    <w:rsid w:val="000D520C"/>
    <w:rsid w:val="000D6596"/>
    <w:rsid w:val="000D6779"/>
    <w:rsid w:val="000E1D9A"/>
    <w:rsid w:val="000E6DF0"/>
    <w:rsid w:val="000F5BB5"/>
    <w:rsid w:val="001037CB"/>
    <w:rsid w:val="0010629E"/>
    <w:rsid w:val="001068A4"/>
    <w:rsid w:val="00114288"/>
    <w:rsid w:val="00115538"/>
    <w:rsid w:val="00116C0D"/>
    <w:rsid w:val="00116FA8"/>
    <w:rsid w:val="00120AB1"/>
    <w:rsid w:val="00123A7F"/>
    <w:rsid w:val="001278D0"/>
    <w:rsid w:val="00127F72"/>
    <w:rsid w:val="001315D7"/>
    <w:rsid w:val="00133F40"/>
    <w:rsid w:val="001379CE"/>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4EA"/>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A7034"/>
    <w:rsid w:val="001C07ED"/>
    <w:rsid w:val="001C1C51"/>
    <w:rsid w:val="001C694A"/>
    <w:rsid w:val="001D4FC9"/>
    <w:rsid w:val="001E0ECA"/>
    <w:rsid w:val="001E206F"/>
    <w:rsid w:val="001E5750"/>
    <w:rsid w:val="001E66BA"/>
    <w:rsid w:val="001E7739"/>
    <w:rsid w:val="001F3DB4"/>
    <w:rsid w:val="001F7564"/>
    <w:rsid w:val="00203DB9"/>
    <w:rsid w:val="00204F40"/>
    <w:rsid w:val="00205DEF"/>
    <w:rsid w:val="002102DB"/>
    <w:rsid w:val="002112C3"/>
    <w:rsid w:val="002131E5"/>
    <w:rsid w:val="00216C8A"/>
    <w:rsid w:val="00226317"/>
    <w:rsid w:val="00231539"/>
    <w:rsid w:val="00242093"/>
    <w:rsid w:val="00243F22"/>
    <w:rsid w:val="002523E3"/>
    <w:rsid w:val="00252AD6"/>
    <w:rsid w:val="002542CE"/>
    <w:rsid w:val="00257A4E"/>
    <w:rsid w:val="00263F01"/>
    <w:rsid w:val="00266FA5"/>
    <w:rsid w:val="00270102"/>
    <w:rsid w:val="00276FBA"/>
    <w:rsid w:val="00277665"/>
    <w:rsid w:val="002837AE"/>
    <w:rsid w:val="00287FA8"/>
    <w:rsid w:val="002920F4"/>
    <w:rsid w:val="00292456"/>
    <w:rsid w:val="002940F3"/>
    <w:rsid w:val="00295842"/>
    <w:rsid w:val="002958FE"/>
    <w:rsid w:val="002B3574"/>
    <w:rsid w:val="002B6B74"/>
    <w:rsid w:val="002C6AE7"/>
    <w:rsid w:val="002D2D4B"/>
    <w:rsid w:val="002D3805"/>
    <w:rsid w:val="002E62C2"/>
    <w:rsid w:val="002E66AE"/>
    <w:rsid w:val="002E7763"/>
    <w:rsid w:val="002F4C6F"/>
    <w:rsid w:val="002F5011"/>
    <w:rsid w:val="002F5842"/>
    <w:rsid w:val="002F7847"/>
    <w:rsid w:val="00306CB7"/>
    <w:rsid w:val="00307ABF"/>
    <w:rsid w:val="003111F5"/>
    <w:rsid w:val="00317664"/>
    <w:rsid w:val="00326454"/>
    <w:rsid w:val="00326E27"/>
    <w:rsid w:val="00336200"/>
    <w:rsid w:val="003368F3"/>
    <w:rsid w:val="00336990"/>
    <w:rsid w:val="00337418"/>
    <w:rsid w:val="00351D83"/>
    <w:rsid w:val="00352197"/>
    <w:rsid w:val="00352A70"/>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1589"/>
    <w:rsid w:val="003B2884"/>
    <w:rsid w:val="003B588A"/>
    <w:rsid w:val="003B621D"/>
    <w:rsid w:val="003C4388"/>
    <w:rsid w:val="003C4C27"/>
    <w:rsid w:val="003C7F7B"/>
    <w:rsid w:val="003D0CD6"/>
    <w:rsid w:val="003D2EAA"/>
    <w:rsid w:val="003D448C"/>
    <w:rsid w:val="003E054C"/>
    <w:rsid w:val="003E1EC5"/>
    <w:rsid w:val="003E27A0"/>
    <w:rsid w:val="003E3872"/>
    <w:rsid w:val="003E67C2"/>
    <w:rsid w:val="003E6C4C"/>
    <w:rsid w:val="003F3A7E"/>
    <w:rsid w:val="004044AA"/>
    <w:rsid w:val="004044C8"/>
    <w:rsid w:val="00404F3F"/>
    <w:rsid w:val="00410B5D"/>
    <w:rsid w:val="00411E5E"/>
    <w:rsid w:val="00413BEC"/>
    <w:rsid w:val="00420A03"/>
    <w:rsid w:val="0042265E"/>
    <w:rsid w:val="00424ED7"/>
    <w:rsid w:val="00425258"/>
    <w:rsid w:val="00426217"/>
    <w:rsid w:val="00431A80"/>
    <w:rsid w:val="00433072"/>
    <w:rsid w:val="00433641"/>
    <w:rsid w:val="00435A89"/>
    <w:rsid w:val="004430E9"/>
    <w:rsid w:val="00452267"/>
    <w:rsid w:val="00453307"/>
    <w:rsid w:val="00454EE1"/>
    <w:rsid w:val="00455A02"/>
    <w:rsid w:val="00457E36"/>
    <w:rsid w:val="00460BD3"/>
    <w:rsid w:val="00461268"/>
    <w:rsid w:val="00462F8F"/>
    <w:rsid w:val="004708F2"/>
    <w:rsid w:val="004724DE"/>
    <w:rsid w:val="004758D2"/>
    <w:rsid w:val="004770FE"/>
    <w:rsid w:val="0048157F"/>
    <w:rsid w:val="00481D56"/>
    <w:rsid w:val="00490408"/>
    <w:rsid w:val="004A075A"/>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5BFB"/>
    <w:rsid w:val="004E63D7"/>
    <w:rsid w:val="004E72DD"/>
    <w:rsid w:val="004E7429"/>
    <w:rsid w:val="004F22CD"/>
    <w:rsid w:val="004F7019"/>
    <w:rsid w:val="005025FB"/>
    <w:rsid w:val="00503462"/>
    <w:rsid w:val="0050461D"/>
    <w:rsid w:val="0051286E"/>
    <w:rsid w:val="00513477"/>
    <w:rsid w:val="00516021"/>
    <w:rsid w:val="00516457"/>
    <w:rsid w:val="00516641"/>
    <w:rsid w:val="0051729F"/>
    <w:rsid w:val="005201C6"/>
    <w:rsid w:val="00520A0C"/>
    <w:rsid w:val="00530E37"/>
    <w:rsid w:val="005317E4"/>
    <w:rsid w:val="00533D12"/>
    <w:rsid w:val="00535946"/>
    <w:rsid w:val="005452CF"/>
    <w:rsid w:val="0054616B"/>
    <w:rsid w:val="005464A1"/>
    <w:rsid w:val="00546F12"/>
    <w:rsid w:val="0055167E"/>
    <w:rsid w:val="0055339C"/>
    <w:rsid w:val="005542CC"/>
    <w:rsid w:val="00560424"/>
    <w:rsid w:val="00562B3C"/>
    <w:rsid w:val="005646FA"/>
    <w:rsid w:val="00564E40"/>
    <w:rsid w:val="00565250"/>
    <w:rsid w:val="005702D2"/>
    <w:rsid w:val="00573E1D"/>
    <w:rsid w:val="005750E2"/>
    <w:rsid w:val="0058313F"/>
    <w:rsid w:val="00585859"/>
    <w:rsid w:val="0058622D"/>
    <w:rsid w:val="00586FBC"/>
    <w:rsid w:val="005879C9"/>
    <w:rsid w:val="00594CAD"/>
    <w:rsid w:val="005A0A66"/>
    <w:rsid w:val="005A19EF"/>
    <w:rsid w:val="005A1D0B"/>
    <w:rsid w:val="005A3C6B"/>
    <w:rsid w:val="005B1EA5"/>
    <w:rsid w:val="005B3C0D"/>
    <w:rsid w:val="005C0BBD"/>
    <w:rsid w:val="005C54A0"/>
    <w:rsid w:val="005D0981"/>
    <w:rsid w:val="005D0D15"/>
    <w:rsid w:val="005D7176"/>
    <w:rsid w:val="005E18CB"/>
    <w:rsid w:val="005E1F24"/>
    <w:rsid w:val="005E2079"/>
    <w:rsid w:val="005E3667"/>
    <w:rsid w:val="005E73F1"/>
    <w:rsid w:val="005F07EF"/>
    <w:rsid w:val="005F16B6"/>
    <w:rsid w:val="005F2600"/>
    <w:rsid w:val="005F397A"/>
    <w:rsid w:val="005F5224"/>
    <w:rsid w:val="005F7AA1"/>
    <w:rsid w:val="00600B2E"/>
    <w:rsid w:val="00601122"/>
    <w:rsid w:val="00606521"/>
    <w:rsid w:val="00607CEB"/>
    <w:rsid w:val="00613299"/>
    <w:rsid w:val="0061762D"/>
    <w:rsid w:val="006306FE"/>
    <w:rsid w:val="00630C45"/>
    <w:rsid w:val="006313F1"/>
    <w:rsid w:val="00634238"/>
    <w:rsid w:val="00635FBC"/>
    <w:rsid w:val="00636EB5"/>
    <w:rsid w:val="00637728"/>
    <w:rsid w:val="0064113A"/>
    <w:rsid w:val="0064167B"/>
    <w:rsid w:val="00643F96"/>
    <w:rsid w:val="00644002"/>
    <w:rsid w:val="0064526B"/>
    <w:rsid w:val="006458B1"/>
    <w:rsid w:val="00647B41"/>
    <w:rsid w:val="00650529"/>
    <w:rsid w:val="00650BAB"/>
    <w:rsid w:val="00651737"/>
    <w:rsid w:val="00654E31"/>
    <w:rsid w:val="00656A8F"/>
    <w:rsid w:val="00661FDB"/>
    <w:rsid w:val="006652DD"/>
    <w:rsid w:val="006671BF"/>
    <w:rsid w:val="00671AEB"/>
    <w:rsid w:val="00672A7D"/>
    <w:rsid w:val="00681416"/>
    <w:rsid w:val="0069328F"/>
    <w:rsid w:val="0069498B"/>
    <w:rsid w:val="006A06F5"/>
    <w:rsid w:val="006A0ED2"/>
    <w:rsid w:val="006A22CF"/>
    <w:rsid w:val="006B0590"/>
    <w:rsid w:val="006B0A73"/>
    <w:rsid w:val="006B33D1"/>
    <w:rsid w:val="006B51E9"/>
    <w:rsid w:val="006B5445"/>
    <w:rsid w:val="006B5A6B"/>
    <w:rsid w:val="006C0F82"/>
    <w:rsid w:val="006C25E8"/>
    <w:rsid w:val="006C26EE"/>
    <w:rsid w:val="006C332E"/>
    <w:rsid w:val="006C4934"/>
    <w:rsid w:val="006C5901"/>
    <w:rsid w:val="006D00F1"/>
    <w:rsid w:val="006D032A"/>
    <w:rsid w:val="006D377A"/>
    <w:rsid w:val="006D4222"/>
    <w:rsid w:val="006D5BE8"/>
    <w:rsid w:val="006D6372"/>
    <w:rsid w:val="006D68C4"/>
    <w:rsid w:val="006D6E5C"/>
    <w:rsid w:val="006D6E73"/>
    <w:rsid w:val="006E02AF"/>
    <w:rsid w:val="006E0786"/>
    <w:rsid w:val="006E2499"/>
    <w:rsid w:val="006E6B4A"/>
    <w:rsid w:val="006E7449"/>
    <w:rsid w:val="006E7FB1"/>
    <w:rsid w:val="006F2604"/>
    <w:rsid w:val="006F5319"/>
    <w:rsid w:val="006F55FD"/>
    <w:rsid w:val="006F5D21"/>
    <w:rsid w:val="00700932"/>
    <w:rsid w:val="00701608"/>
    <w:rsid w:val="007034EA"/>
    <w:rsid w:val="007061DA"/>
    <w:rsid w:val="007109F6"/>
    <w:rsid w:val="00711BE3"/>
    <w:rsid w:val="00717FC1"/>
    <w:rsid w:val="00721B51"/>
    <w:rsid w:val="00722CB3"/>
    <w:rsid w:val="00724594"/>
    <w:rsid w:val="00724685"/>
    <w:rsid w:val="00724FA7"/>
    <w:rsid w:val="00725415"/>
    <w:rsid w:val="007262CC"/>
    <w:rsid w:val="00727505"/>
    <w:rsid w:val="00731581"/>
    <w:rsid w:val="0073481D"/>
    <w:rsid w:val="00740211"/>
    <w:rsid w:val="00741B9E"/>
    <w:rsid w:val="007421FD"/>
    <w:rsid w:val="00743DAC"/>
    <w:rsid w:val="007455B3"/>
    <w:rsid w:val="007502CD"/>
    <w:rsid w:val="00752AE7"/>
    <w:rsid w:val="00752D3B"/>
    <w:rsid w:val="0075337B"/>
    <w:rsid w:val="00755CD4"/>
    <w:rsid w:val="007577E6"/>
    <w:rsid w:val="00757F96"/>
    <w:rsid w:val="007610B5"/>
    <w:rsid w:val="007623CB"/>
    <w:rsid w:val="00762652"/>
    <w:rsid w:val="00764551"/>
    <w:rsid w:val="0076556F"/>
    <w:rsid w:val="007677B8"/>
    <w:rsid w:val="00781713"/>
    <w:rsid w:val="00785265"/>
    <w:rsid w:val="00785285"/>
    <w:rsid w:val="0078529D"/>
    <w:rsid w:val="00785E77"/>
    <w:rsid w:val="0078720B"/>
    <w:rsid w:val="00787DC1"/>
    <w:rsid w:val="00794070"/>
    <w:rsid w:val="007A3629"/>
    <w:rsid w:val="007A63CA"/>
    <w:rsid w:val="007A713B"/>
    <w:rsid w:val="007A7DA0"/>
    <w:rsid w:val="007B64E5"/>
    <w:rsid w:val="007B7E9D"/>
    <w:rsid w:val="007C2F04"/>
    <w:rsid w:val="007D028B"/>
    <w:rsid w:val="007E468C"/>
    <w:rsid w:val="007F06E5"/>
    <w:rsid w:val="007F1A23"/>
    <w:rsid w:val="007F5B8B"/>
    <w:rsid w:val="00800DBD"/>
    <w:rsid w:val="00805BC0"/>
    <w:rsid w:val="00814FB9"/>
    <w:rsid w:val="008169F5"/>
    <w:rsid w:val="00817E9A"/>
    <w:rsid w:val="00824E5A"/>
    <w:rsid w:val="00827786"/>
    <w:rsid w:val="00827BDA"/>
    <w:rsid w:val="00830C23"/>
    <w:rsid w:val="00830D57"/>
    <w:rsid w:val="00831F00"/>
    <w:rsid w:val="008349A9"/>
    <w:rsid w:val="008445D6"/>
    <w:rsid w:val="00850CA0"/>
    <w:rsid w:val="00852A2F"/>
    <w:rsid w:val="008608EE"/>
    <w:rsid w:val="00860B07"/>
    <w:rsid w:val="008616F6"/>
    <w:rsid w:val="0086259C"/>
    <w:rsid w:val="008674ED"/>
    <w:rsid w:val="0087074C"/>
    <w:rsid w:val="00874913"/>
    <w:rsid w:val="008807D7"/>
    <w:rsid w:val="00883F24"/>
    <w:rsid w:val="008954A1"/>
    <w:rsid w:val="00895C47"/>
    <w:rsid w:val="00897E1F"/>
    <w:rsid w:val="008A3E8E"/>
    <w:rsid w:val="008A5809"/>
    <w:rsid w:val="008B0BF4"/>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0534F"/>
    <w:rsid w:val="009102CD"/>
    <w:rsid w:val="0092092A"/>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79D"/>
    <w:rsid w:val="00993CFC"/>
    <w:rsid w:val="009A1DC2"/>
    <w:rsid w:val="009A2783"/>
    <w:rsid w:val="009A5EEA"/>
    <w:rsid w:val="009B0906"/>
    <w:rsid w:val="009B38F2"/>
    <w:rsid w:val="009B6FC0"/>
    <w:rsid w:val="009B7433"/>
    <w:rsid w:val="009C0914"/>
    <w:rsid w:val="009C27E5"/>
    <w:rsid w:val="009D24A1"/>
    <w:rsid w:val="009D3891"/>
    <w:rsid w:val="009D4EED"/>
    <w:rsid w:val="009D71E8"/>
    <w:rsid w:val="009D79B6"/>
    <w:rsid w:val="009E0CF5"/>
    <w:rsid w:val="009E104B"/>
    <w:rsid w:val="009E32BF"/>
    <w:rsid w:val="009E3E6F"/>
    <w:rsid w:val="009E6FA2"/>
    <w:rsid w:val="009E7DE4"/>
    <w:rsid w:val="009F3BBD"/>
    <w:rsid w:val="009F5B74"/>
    <w:rsid w:val="009F6BED"/>
    <w:rsid w:val="00A022AB"/>
    <w:rsid w:val="00A0598D"/>
    <w:rsid w:val="00A0619D"/>
    <w:rsid w:val="00A063DD"/>
    <w:rsid w:val="00A10C8B"/>
    <w:rsid w:val="00A112B5"/>
    <w:rsid w:val="00A14EEA"/>
    <w:rsid w:val="00A33636"/>
    <w:rsid w:val="00A35DA7"/>
    <w:rsid w:val="00A44FBB"/>
    <w:rsid w:val="00A50104"/>
    <w:rsid w:val="00A522E0"/>
    <w:rsid w:val="00A52823"/>
    <w:rsid w:val="00A605F4"/>
    <w:rsid w:val="00A60E28"/>
    <w:rsid w:val="00A63579"/>
    <w:rsid w:val="00A638AC"/>
    <w:rsid w:val="00A64475"/>
    <w:rsid w:val="00A72517"/>
    <w:rsid w:val="00A727E5"/>
    <w:rsid w:val="00A748B5"/>
    <w:rsid w:val="00A7797A"/>
    <w:rsid w:val="00A80A32"/>
    <w:rsid w:val="00A81948"/>
    <w:rsid w:val="00A82A98"/>
    <w:rsid w:val="00A82D16"/>
    <w:rsid w:val="00A852F2"/>
    <w:rsid w:val="00A8712A"/>
    <w:rsid w:val="00A94D54"/>
    <w:rsid w:val="00A95F75"/>
    <w:rsid w:val="00A960E7"/>
    <w:rsid w:val="00A968DA"/>
    <w:rsid w:val="00A96B83"/>
    <w:rsid w:val="00AA32DB"/>
    <w:rsid w:val="00AA355B"/>
    <w:rsid w:val="00AA42E5"/>
    <w:rsid w:val="00AB24FA"/>
    <w:rsid w:val="00AB5161"/>
    <w:rsid w:val="00AB608F"/>
    <w:rsid w:val="00AC68E8"/>
    <w:rsid w:val="00AD7B5A"/>
    <w:rsid w:val="00AE229F"/>
    <w:rsid w:val="00AF0618"/>
    <w:rsid w:val="00AF5E20"/>
    <w:rsid w:val="00B002FA"/>
    <w:rsid w:val="00B00327"/>
    <w:rsid w:val="00B024B3"/>
    <w:rsid w:val="00B11DE8"/>
    <w:rsid w:val="00B1404D"/>
    <w:rsid w:val="00B156A2"/>
    <w:rsid w:val="00B179ED"/>
    <w:rsid w:val="00B17A2A"/>
    <w:rsid w:val="00B20E18"/>
    <w:rsid w:val="00B331E1"/>
    <w:rsid w:val="00B35921"/>
    <w:rsid w:val="00B3743E"/>
    <w:rsid w:val="00B4240C"/>
    <w:rsid w:val="00B4532A"/>
    <w:rsid w:val="00B47C66"/>
    <w:rsid w:val="00B519F1"/>
    <w:rsid w:val="00B572C4"/>
    <w:rsid w:val="00B60858"/>
    <w:rsid w:val="00B60D69"/>
    <w:rsid w:val="00B6234E"/>
    <w:rsid w:val="00B71DC7"/>
    <w:rsid w:val="00B74D4E"/>
    <w:rsid w:val="00B755D4"/>
    <w:rsid w:val="00B80219"/>
    <w:rsid w:val="00B8090A"/>
    <w:rsid w:val="00B82BA6"/>
    <w:rsid w:val="00B86603"/>
    <w:rsid w:val="00B87184"/>
    <w:rsid w:val="00B91453"/>
    <w:rsid w:val="00BA19A5"/>
    <w:rsid w:val="00BA27BE"/>
    <w:rsid w:val="00BB2907"/>
    <w:rsid w:val="00BB38F5"/>
    <w:rsid w:val="00BB6902"/>
    <w:rsid w:val="00BC078B"/>
    <w:rsid w:val="00BC3A7D"/>
    <w:rsid w:val="00BC67F6"/>
    <w:rsid w:val="00BD2004"/>
    <w:rsid w:val="00BD4B12"/>
    <w:rsid w:val="00BD700D"/>
    <w:rsid w:val="00BE2F92"/>
    <w:rsid w:val="00BE44AC"/>
    <w:rsid w:val="00BE5C97"/>
    <w:rsid w:val="00BF0D5F"/>
    <w:rsid w:val="00BF30FC"/>
    <w:rsid w:val="00BF58F6"/>
    <w:rsid w:val="00BF59B3"/>
    <w:rsid w:val="00BF6BEE"/>
    <w:rsid w:val="00BF6F95"/>
    <w:rsid w:val="00C0082D"/>
    <w:rsid w:val="00C00B58"/>
    <w:rsid w:val="00C10BCF"/>
    <w:rsid w:val="00C11EB4"/>
    <w:rsid w:val="00C12746"/>
    <w:rsid w:val="00C235D2"/>
    <w:rsid w:val="00C23C11"/>
    <w:rsid w:val="00C2441E"/>
    <w:rsid w:val="00C25827"/>
    <w:rsid w:val="00C31636"/>
    <w:rsid w:val="00C31BB8"/>
    <w:rsid w:val="00C373EA"/>
    <w:rsid w:val="00C4139F"/>
    <w:rsid w:val="00C42D62"/>
    <w:rsid w:val="00C43CA3"/>
    <w:rsid w:val="00C43D9D"/>
    <w:rsid w:val="00C43EA4"/>
    <w:rsid w:val="00C50040"/>
    <w:rsid w:val="00C52DFF"/>
    <w:rsid w:val="00C54784"/>
    <w:rsid w:val="00C574E1"/>
    <w:rsid w:val="00C621C1"/>
    <w:rsid w:val="00C62989"/>
    <w:rsid w:val="00C65CBB"/>
    <w:rsid w:val="00C74684"/>
    <w:rsid w:val="00C778CA"/>
    <w:rsid w:val="00C77FEF"/>
    <w:rsid w:val="00C80F37"/>
    <w:rsid w:val="00C83659"/>
    <w:rsid w:val="00C839C1"/>
    <w:rsid w:val="00C97A7F"/>
    <w:rsid w:val="00CA4421"/>
    <w:rsid w:val="00CA5363"/>
    <w:rsid w:val="00CA7D07"/>
    <w:rsid w:val="00CB24A4"/>
    <w:rsid w:val="00CB5B17"/>
    <w:rsid w:val="00CB6AA0"/>
    <w:rsid w:val="00CC3965"/>
    <w:rsid w:val="00CC4443"/>
    <w:rsid w:val="00CC5CAF"/>
    <w:rsid w:val="00CD3727"/>
    <w:rsid w:val="00CD715D"/>
    <w:rsid w:val="00CE16AE"/>
    <w:rsid w:val="00CE4C30"/>
    <w:rsid w:val="00CE7E1B"/>
    <w:rsid w:val="00CF7806"/>
    <w:rsid w:val="00D00B5E"/>
    <w:rsid w:val="00D03B06"/>
    <w:rsid w:val="00D04309"/>
    <w:rsid w:val="00D04F25"/>
    <w:rsid w:val="00D06874"/>
    <w:rsid w:val="00D07530"/>
    <w:rsid w:val="00D07FCB"/>
    <w:rsid w:val="00D173F7"/>
    <w:rsid w:val="00D20203"/>
    <w:rsid w:val="00D204E0"/>
    <w:rsid w:val="00D21354"/>
    <w:rsid w:val="00D22400"/>
    <w:rsid w:val="00D23F4A"/>
    <w:rsid w:val="00D264E2"/>
    <w:rsid w:val="00D278BA"/>
    <w:rsid w:val="00D33FE5"/>
    <w:rsid w:val="00D3481B"/>
    <w:rsid w:val="00D348C0"/>
    <w:rsid w:val="00D3578A"/>
    <w:rsid w:val="00D43A15"/>
    <w:rsid w:val="00D4463C"/>
    <w:rsid w:val="00D46182"/>
    <w:rsid w:val="00D46C7D"/>
    <w:rsid w:val="00D46E38"/>
    <w:rsid w:val="00D501EE"/>
    <w:rsid w:val="00D517DC"/>
    <w:rsid w:val="00D5360D"/>
    <w:rsid w:val="00D5590D"/>
    <w:rsid w:val="00D61247"/>
    <w:rsid w:val="00D618E4"/>
    <w:rsid w:val="00D61DA5"/>
    <w:rsid w:val="00D642A3"/>
    <w:rsid w:val="00D7146B"/>
    <w:rsid w:val="00D71B8A"/>
    <w:rsid w:val="00D72C08"/>
    <w:rsid w:val="00D75247"/>
    <w:rsid w:val="00D81325"/>
    <w:rsid w:val="00D875ED"/>
    <w:rsid w:val="00D877D0"/>
    <w:rsid w:val="00D90013"/>
    <w:rsid w:val="00D91B9C"/>
    <w:rsid w:val="00D92C1B"/>
    <w:rsid w:val="00D92E1C"/>
    <w:rsid w:val="00D94CC7"/>
    <w:rsid w:val="00D97901"/>
    <w:rsid w:val="00DA1AF4"/>
    <w:rsid w:val="00DB0C60"/>
    <w:rsid w:val="00DB3F4E"/>
    <w:rsid w:val="00DC641A"/>
    <w:rsid w:val="00DD106B"/>
    <w:rsid w:val="00DD21A1"/>
    <w:rsid w:val="00DD2A57"/>
    <w:rsid w:val="00DD6289"/>
    <w:rsid w:val="00DD68FB"/>
    <w:rsid w:val="00DD6B7D"/>
    <w:rsid w:val="00DD6E14"/>
    <w:rsid w:val="00DE15AC"/>
    <w:rsid w:val="00DE38EC"/>
    <w:rsid w:val="00DF2015"/>
    <w:rsid w:val="00E01D36"/>
    <w:rsid w:val="00E01D53"/>
    <w:rsid w:val="00E061EC"/>
    <w:rsid w:val="00E0696B"/>
    <w:rsid w:val="00E10E81"/>
    <w:rsid w:val="00E13E51"/>
    <w:rsid w:val="00E21F56"/>
    <w:rsid w:val="00E21F58"/>
    <w:rsid w:val="00E24B00"/>
    <w:rsid w:val="00E27F70"/>
    <w:rsid w:val="00E3014F"/>
    <w:rsid w:val="00E4286E"/>
    <w:rsid w:val="00E42C34"/>
    <w:rsid w:val="00E43EAD"/>
    <w:rsid w:val="00E62713"/>
    <w:rsid w:val="00E62DCB"/>
    <w:rsid w:val="00E651DD"/>
    <w:rsid w:val="00E66558"/>
    <w:rsid w:val="00E66CA1"/>
    <w:rsid w:val="00E66DE9"/>
    <w:rsid w:val="00E70D81"/>
    <w:rsid w:val="00E70EFA"/>
    <w:rsid w:val="00E726A6"/>
    <w:rsid w:val="00E73418"/>
    <w:rsid w:val="00E8109E"/>
    <w:rsid w:val="00E85C23"/>
    <w:rsid w:val="00E86997"/>
    <w:rsid w:val="00E86F05"/>
    <w:rsid w:val="00EA3A2A"/>
    <w:rsid w:val="00EA6B46"/>
    <w:rsid w:val="00EB4556"/>
    <w:rsid w:val="00EB4A11"/>
    <w:rsid w:val="00EB64C8"/>
    <w:rsid w:val="00EB7DB7"/>
    <w:rsid w:val="00ED4136"/>
    <w:rsid w:val="00ED5108"/>
    <w:rsid w:val="00ED6AE8"/>
    <w:rsid w:val="00EE291B"/>
    <w:rsid w:val="00EE2CB2"/>
    <w:rsid w:val="00EE6B28"/>
    <w:rsid w:val="00EF485B"/>
    <w:rsid w:val="00EF5A6B"/>
    <w:rsid w:val="00EF6F7F"/>
    <w:rsid w:val="00F012CA"/>
    <w:rsid w:val="00F01752"/>
    <w:rsid w:val="00F017D2"/>
    <w:rsid w:val="00F01EE7"/>
    <w:rsid w:val="00F0355A"/>
    <w:rsid w:val="00F05C44"/>
    <w:rsid w:val="00F07D8D"/>
    <w:rsid w:val="00F138C4"/>
    <w:rsid w:val="00F15753"/>
    <w:rsid w:val="00F178FF"/>
    <w:rsid w:val="00F21F92"/>
    <w:rsid w:val="00F24A7E"/>
    <w:rsid w:val="00F32ABA"/>
    <w:rsid w:val="00F33CE1"/>
    <w:rsid w:val="00F33DC0"/>
    <w:rsid w:val="00F33F28"/>
    <w:rsid w:val="00F35A40"/>
    <w:rsid w:val="00F35FDE"/>
    <w:rsid w:val="00F40DE1"/>
    <w:rsid w:val="00F4142A"/>
    <w:rsid w:val="00F54FCB"/>
    <w:rsid w:val="00F62587"/>
    <w:rsid w:val="00F631A6"/>
    <w:rsid w:val="00F63E9E"/>
    <w:rsid w:val="00F63FEA"/>
    <w:rsid w:val="00F6483E"/>
    <w:rsid w:val="00F6600A"/>
    <w:rsid w:val="00F66AA7"/>
    <w:rsid w:val="00F6765F"/>
    <w:rsid w:val="00F75603"/>
    <w:rsid w:val="00F76843"/>
    <w:rsid w:val="00F776E1"/>
    <w:rsid w:val="00F77E8D"/>
    <w:rsid w:val="00F925EB"/>
    <w:rsid w:val="00F97033"/>
    <w:rsid w:val="00FA6DD0"/>
    <w:rsid w:val="00FA7395"/>
    <w:rsid w:val="00FB2F55"/>
    <w:rsid w:val="00FB6599"/>
    <w:rsid w:val="00FC149A"/>
    <w:rsid w:val="00FC28DF"/>
    <w:rsid w:val="00FC6763"/>
    <w:rsid w:val="00FD1780"/>
    <w:rsid w:val="00FD2297"/>
    <w:rsid w:val="00FD406D"/>
    <w:rsid w:val="00FD6AC6"/>
    <w:rsid w:val="00FE3136"/>
    <w:rsid w:val="00FE50A3"/>
    <w:rsid w:val="00FE5204"/>
    <w:rsid w:val="00FE604C"/>
    <w:rsid w:val="00FF2000"/>
    <w:rsid w:val="00FF369D"/>
    <w:rsid w:val="00FF37B5"/>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customStyle="1" w:styleId="paragraph">
    <w:name w:val="paragraph"/>
    <w:basedOn w:val="Normal"/>
    <w:rsid w:val="00D00B5E"/>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D00B5E"/>
  </w:style>
  <w:style w:type="character" w:customStyle="1" w:styleId="eop">
    <w:name w:val="eop"/>
    <w:basedOn w:val="DefaultParagraphFont"/>
    <w:rsid w:val="00D00B5E"/>
  </w:style>
  <w:style w:type="character" w:customStyle="1" w:styleId="cf01">
    <w:name w:val="cf01"/>
    <w:basedOn w:val="DefaultParagraphFont"/>
    <w:rsid w:val="00E70EFA"/>
    <w:rPr>
      <w:rFonts w:ascii="Segoe UI" w:hAnsi="Segoe UI" w:cs="Segoe UI" w:hint="default"/>
      <w:sz w:val="18"/>
      <w:szCs w:val="18"/>
    </w:rPr>
  </w:style>
  <w:style w:type="character" w:customStyle="1" w:styleId="markvbbd7y8es">
    <w:name w:val="markvbbd7y8es"/>
    <w:basedOn w:val="DefaultParagraphFont"/>
    <w:rsid w:val="00E0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36156593">
      <w:bodyDiv w:val="1"/>
      <w:marLeft w:val="0"/>
      <w:marRight w:val="0"/>
      <w:marTop w:val="0"/>
      <w:marBottom w:val="0"/>
      <w:divBdr>
        <w:top w:val="none" w:sz="0" w:space="0" w:color="auto"/>
        <w:left w:val="none" w:sz="0" w:space="0" w:color="auto"/>
        <w:bottom w:val="none" w:sz="0" w:space="0" w:color="auto"/>
        <w:right w:val="none" w:sz="0" w:space="0" w:color="auto"/>
      </w:divBdr>
      <w:divsChild>
        <w:div w:id="529687090">
          <w:marLeft w:val="0"/>
          <w:marRight w:val="0"/>
          <w:marTop w:val="0"/>
          <w:marBottom w:val="0"/>
          <w:divBdr>
            <w:top w:val="none" w:sz="0" w:space="0" w:color="auto"/>
            <w:left w:val="none" w:sz="0" w:space="0" w:color="auto"/>
            <w:bottom w:val="none" w:sz="0" w:space="0" w:color="auto"/>
            <w:right w:val="none" w:sz="0" w:space="0" w:color="auto"/>
          </w:divBdr>
        </w:div>
        <w:div w:id="829519283">
          <w:marLeft w:val="0"/>
          <w:marRight w:val="0"/>
          <w:marTop w:val="0"/>
          <w:marBottom w:val="0"/>
          <w:divBdr>
            <w:top w:val="none" w:sz="0" w:space="0" w:color="auto"/>
            <w:left w:val="none" w:sz="0" w:space="0" w:color="auto"/>
            <w:bottom w:val="none" w:sz="0" w:space="0" w:color="auto"/>
            <w:right w:val="none" w:sz="0" w:space="0" w:color="auto"/>
          </w:divBdr>
        </w:div>
        <w:div w:id="94593771">
          <w:marLeft w:val="0"/>
          <w:marRight w:val="0"/>
          <w:marTop w:val="0"/>
          <w:marBottom w:val="0"/>
          <w:divBdr>
            <w:top w:val="none" w:sz="0" w:space="0" w:color="auto"/>
            <w:left w:val="none" w:sz="0" w:space="0" w:color="auto"/>
            <w:bottom w:val="none" w:sz="0" w:space="0" w:color="auto"/>
            <w:right w:val="none" w:sz="0" w:space="0" w:color="auto"/>
          </w:divBdr>
        </w:div>
        <w:div w:id="1854956044">
          <w:marLeft w:val="0"/>
          <w:marRight w:val="0"/>
          <w:marTop w:val="0"/>
          <w:marBottom w:val="0"/>
          <w:divBdr>
            <w:top w:val="none" w:sz="0" w:space="0" w:color="auto"/>
            <w:left w:val="none" w:sz="0" w:space="0" w:color="auto"/>
            <w:bottom w:val="none" w:sz="0" w:space="0" w:color="auto"/>
            <w:right w:val="none" w:sz="0" w:space="0" w:color="auto"/>
          </w:divBdr>
        </w:div>
        <w:div w:id="449786913">
          <w:marLeft w:val="0"/>
          <w:marRight w:val="0"/>
          <w:marTop w:val="0"/>
          <w:marBottom w:val="0"/>
          <w:divBdr>
            <w:top w:val="none" w:sz="0" w:space="0" w:color="auto"/>
            <w:left w:val="none" w:sz="0" w:space="0" w:color="auto"/>
            <w:bottom w:val="none" w:sz="0" w:space="0" w:color="auto"/>
            <w:right w:val="none" w:sz="0" w:space="0" w:color="auto"/>
          </w:divBdr>
        </w:div>
        <w:div w:id="1843080908">
          <w:marLeft w:val="0"/>
          <w:marRight w:val="0"/>
          <w:marTop w:val="0"/>
          <w:marBottom w:val="0"/>
          <w:divBdr>
            <w:top w:val="none" w:sz="0" w:space="0" w:color="auto"/>
            <w:left w:val="none" w:sz="0" w:space="0" w:color="auto"/>
            <w:bottom w:val="none" w:sz="0" w:space="0" w:color="auto"/>
            <w:right w:val="none" w:sz="0" w:space="0" w:color="auto"/>
          </w:divBdr>
        </w:div>
        <w:div w:id="1307052595">
          <w:marLeft w:val="0"/>
          <w:marRight w:val="0"/>
          <w:marTop w:val="0"/>
          <w:marBottom w:val="0"/>
          <w:divBdr>
            <w:top w:val="none" w:sz="0" w:space="0" w:color="auto"/>
            <w:left w:val="none" w:sz="0" w:space="0" w:color="auto"/>
            <w:bottom w:val="none" w:sz="0" w:space="0" w:color="auto"/>
            <w:right w:val="none" w:sz="0" w:space="0" w:color="auto"/>
          </w:divBdr>
        </w:div>
        <w:div w:id="1643315762">
          <w:marLeft w:val="0"/>
          <w:marRight w:val="0"/>
          <w:marTop w:val="0"/>
          <w:marBottom w:val="0"/>
          <w:divBdr>
            <w:top w:val="none" w:sz="0" w:space="0" w:color="auto"/>
            <w:left w:val="none" w:sz="0" w:space="0" w:color="auto"/>
            <w:bottom w:val="none" w:sz="0" w:space="0" w:color="auto"/>
            <w:right w:val="none" w:sz="0" w:space="0" w:color="auto"/>
          </w:divBdr>
        </w:div>
        <w:div w:id="765349322">
          <w:marLeft w:val="0"/>
          <w:marRight w:val="0"/>
          <w:marTop w:val="0"/>
          <w:marBottom w:val="0"/>
          <w:divBdr>
            <w:top w:val="none" w:sz="0" w:space="0" w:color="auto"/>
            <w:left w:val="none" w:sz="0" w:space="0" w:color="auto"/>
            <w:bottom w:val="none" w:sz="0" w:space="0" w:color="auto"/>
            <w:right w:val="none" w:sz="0" w:space="0" w:color="auto"/>
          </w:divBdr>
        </w:div>
        <w:div w:id="1708213312">
          <w:marLeft w:val="0"/>
          <w:marRight w:val="0"/>
          <w:marTop w:val="0"/>
          <w:marBottom w:val="0"/>
          <w:divBdr>
            <w:top w:val="none" w:sz="0" w:space="0" w:color="auto"/>
            <w:left w:val="none" w:sz="0" w:space="0" w:color="auto"/>
            <w:bottom w:val="none" w:sz="0" w:space="0" w:color="auto"/>
            <w:right w:val="none" w:sz="0" w:space="0" w:color="auto"/>
          </w:divBdr>
        </w:div>
        <w:div w:id="1626692192">
          <w:marLeft w:val="0"/>
          <w:marRight w:val="0"/>
          <w:marTop w:val="0"/>
          <w:marBottom w:val="0"/>
          <w:divBdr>
            <w:top w:val="none" w:sz="0" w:space="0" w:color="auto"/>
            <w:left w:val="none" w:sz="0" w:space="0" w:color="auto"/>
            <w:bottom w:val="none" w:sz="0" w:space="0" w:color="auto"/>
            <w:right w:val="none" w:sz="0" w:space="0" w:color="auto"/>
          </w:divBdr>
        </w:div>
        <w:div w:id="790705954">
          <w:marLeft w:val="0"/>
          <w:marRight w:val="0"/>
          <w:marTop w:val="0"/>
          <w:marBottom w:val="0"/>
          <w:divBdr>
            <w:top w:val="none" w:sz="0" w:space="0" w:color="auto"/>
            <w:left w:val="none" w:sz="0" w:space="0" w:color="auto"/>
            <w:bottom w:val="none" w:sz="0" w:space="0" w:color="auto"/>
            <w:right w:val="none" w:sz="0" w:space="0" w:color="auto"/>
          </w:divBdr>
        </w:div>
        <w:div w:id="438719621">
          <w:marLeft w:val="0"/>
          <w:marRight w:val="0"/>
          <w:marTop w:val="0"/>
          <w:marBottom w:val="0"/>
          <w:divBdr>
            <w:top w:val="none" w:sz="0" w:space="0" w:color="auto"/>
            <w:left w:val="none" w:sz="0" w:space="0" w:color="auto"/>
            <w:bottom w:val="none" w:sz="0" w:space="0" w:color="auto"/>
            <w:right w:val="none" w:sz="0" w:space="0" w:color="auto"/>
          </w:divBdr>
        </w:div>
      </w:divsChild>
    </w:div>
    <w:div w:id="710224370">
      <w:bodyDiv w:val="1"/>
      <w:marLeft w:val="0"/>
      <w:marRight w:val="0"/>
      <w:marTop w:val="0"/>
      <w:marBottom w:val="0"/>
      <w:divBdr>
        <w:top w:val="none" w:sz="0" w:space="0" w:color="auto"/>
        <w:left w:val="none" w:sz="0" w:space="0" w:color="auto"/>
        <w:bottom w:val="none" w:sz="0" w:space="0" w:color="auto"/>
        <w:right w:val="none" w:sz="0" w:space="0" w:color="auto"/>
      </w:divBdr>
      <w:divsChild>
        <w:div w:id="846359773">
          <w:marLeft w:val="0"/>
          <w:marRight w:val="0"/>
          <w:marTop w:val="0"/>
          <w:marBottom w:val="0"/>
          <w:divBdr>
            <w:top w:val="none" w:sz="0" w:space="0" w:color="auto"/>
            <w:left w:val="none" w:sz="0" w:space="0" w:color="auto"/>
            <w:bottom w:val="none" w:sz="0" w:space="0" w:color="auto"/>
            <w:right w:val="none" w:sz="0" w:space="0" w:color="auto"/>
          </w:divBdr>
        </w:div>
        <w:div w:id="121316261">
          <w:marLeft w:val="0"/>
          <w:marRight w:val="0"/>
          <w:marTop w:val="0"/>
          <w:marBottom w:val="0"/>
          <w:divBdr>
            <w:top w:val="none" w:sz="0" w:space="0" w:color="auto"/>
            <w:left w:val="none" w:sz="0" w:space="0" w:color="auto"/>
            <w:bottom w:val="none" w:sz="0" w:space="0" w:color="auto"/>
            <w:right w:val="none" w:sz="0" w:space="0" w:color="auto"/>
          </w:divBdr>
        </w:div>
        <w:div w:id="112216504">
          <w:marLeft w:val="0"/>
          <w:marRight w:val="0"/>
          <w:marTop w:val="0"/>
          <w:marBottom w:val="0"/>
          <w:divBdr>
            <w:top w:val="none" w:sz="0" w:space="0" w:color="auto"/>
            <w:left w:val="none" w:sz="0" w:space="0" w:color="auto"/>
            <w:bottom w:val="none" w:sz="0" w:space="0" w:color="auto"/>
            <w:right w:val="none" w:sz="0" w:space="0" w:color="auto"/>
          </w:divBdr>
        </w:div>
        <w:div w:id="800417385">
          <w:marLeft w:val="0"/>
          <w:marRight w:val="0"/>
          <w:marTop w:val="0"/>
          <w:marBottom w:val="0"/>
          <w:divBdr>
            <w:top w:val="none" w:sz="0" w:space="0" w:color="auto"/>
            <w:left w:val="none" w:sz="0" w:space="0" w:color="auto"/>
            <w:bottom w:val="none" w:sz="0" w:space="0" w:color="auto"/>
            <w:right w:val="none" w:sz="0" w:space="0" w:color="auto"/>
          </w:divBdr>
        </w:div>
        <w:div w:id="2047173083">
          <w:marLeft w:val="0"/>
          <w:marRight w:val="0"/>
          <w:marTop w:val="0"/>
          <w:marBottom w:val="0"/>
          <w:divBdr>
            <w:top w:val="none" w:sz="0" w:space="0" w:color="auto"/>
            <w:left w:val="none" w:sz="0" w:space="0" w:color="auto"/>
            <w:bottom w:val="none" w:sz="0" w:space="0" w:color="auto"/>
            <w:right w:val="none" w:sz="0" w:space="0" w:color="auto"/>
          </w:divBdr>
        </w:div>
        <w:div w:id="905870541">
          <w:marLeft w:val="0"/>
          <w:marRight w:val="0"/>
          <w:marTop w:val="0"/>
          <w:marBottom w:val="0"/>
          <w:divBdr>
            <w:top w:val="none" w:sz="0" w:space="0" w:color="auto"/>
            <w:left w:val="none" w:sz="0" w:space="0" w:color="auto"/>
            <w:bottom w:val="none" w:sz="0" w:space="0" w:color="auto"/>
            <w:right w:val="none" w:sz="0" w:space="0" w:color="auto"/>
          </w:divBdr>
        </w:div>
        <w:div w:id="1902711205">
          <w:marLeft w:val="0"/>
          <w:marRight w:val="0"/>
          <w:marTop w:val="0"/>
          <w:marBottom w:val="0"/>
          <w:divBdr>
            <w:top w:val="none" w:sz="0" w:space="0" w:color="auto"/>
            <w:left w:val="none" w:sz="0" w:space="0" w:color="auto"/>
            <w:bottom w:val="none" w:sz="0" w:space="0" w:color="auto"/>
            <w:right w:val="none" w:sz="0" w:space="0" w:color="auto"/>
          </w:divBdr>
        </w:div>
        <w:div w:id="24260922">
          <w:marLeft w:val="0"/>
          <w:marRight w:val="0"/>
          <w:marTop w:val="0"/>
          <w:marBottom w:val="0"/>
          <w:divBdr>
            <w:top w:val="none" w:sz="0" w:space="0" w:color="auto"/>
            <w:left w:val="none" w:sz="0" w:space="0" w:color="auto"/>
            <w:bottom w:val="none" w:sz="0" w:space="0" w:color="auto"/>
            <w:right w:val="none" w:sz="0" w:space="0" w:color="auto"/>
          </w:divBdr>
        </w:div>
        <w:div w:id="31003110">
          <w:marLeft w:val="0"/>
          <w:marRight w:val="0"/>
          <w:marTop w:val="0"/>
          <w:marBottom w:val="0"/>
          <w:divBdr>
            <w:top w:val="none" w:sz="0" w:space="0" w:color="auto"/>
            <w:left w:val="none" w:sz="0" w:space="0" w:color="auto"/>
            <w:bottom w:val="none" w:sz="0" w:space="0" w:color="auto"/>
            <w:right w:val="none" w:sz="0" w:space="0" w:color="auto"/>
          </w:divBdr>
        </w:div>
        <w:div w:id="869145793">
          <w:marLeft w:val="0"/>
          <w:marRight w:val="0"/>
          <w:marTop w:val="0"/>
          <w:marBottom w:val="0"/>
          <w:divBdr>
            <w:top w:val="none" w:sz="0" w:space="0" w:color="auto"/>
            <w:left w:val="none" w:sz="0" w:space="0" w:color="auto"/>
            <w:bottom w:val="none" w:sz="0" w:space="0" w:color="auto"/>
            <w:right w:val="none" w:sz="0" w:space="0" w:color="auto"/>
          </w:divBdr>
        </w:div>
        <w:div w:id="854074281">
          <w:marLeft w:val="0"/>
          <w:marRight w:val="0"/>
          <w:marTop w:val="0"/>
          <w:marBottom w:val="0"/>
          <w:divBdr>
            <w:top w:val="none" w:sz="0" w:space="0" w:color="auto"/>
            <w:left w:val="none" w:sz="0" w:space="0" w:color="auto"/>
            <w:bottom w:val="none" w:sz="0" w:space="0" w:color="auto"/>
            <w:right w:val="none" w:sz="0" w:space="0" w:color="auto"/>
          </w:divBdr>
        </w:div>
        <w:div w:id="1244685681">
          <w:marLeft w:val="0"/>
          <w:marRight w:val="0"/>
          <w:marTop w:val="0"/>
          <w:marBottom w:val="0"/>
          <w:divBdr>
            <w:top w:val="none" w:sz="0" w:space="0" w:color="auto"/>
            <w:left w:val="none" w:sz="0" w:space="0" w:color="auto"/>
            <w:bottom w:val="none" w:sz="0" w:space="0" w:color="auto"/>
            <w:right w:val="none" w:sz="0" w:space="0" w:color="auto"/>
          </w:divBdr>
        </w:div>
        <w:div w:id="1337923803">
          <w:marLeft w:val="0"/>
          <w:marRight w:val="0"/>
          <w:marTop w:val="0"/>
          <w:marBottom w:val="0"/>
          <w:divBdr>
            <w:top w:val="none" w:sz="0" w:space="0" w:color="auto"/>
            <w:left w:val="none" w:sz="0" w:space="0" w:color="auto"/>
            <w:bottom w:val="none" w:sz="0" w:space="0" w:color="auto"/>
            <w:right w:val="none" w:sz="0" w:space="0" w:color="auto"/>
          </w:divBdr>
        </w:div>
      </w:divsChild>
    </w:div>
    <w:div w:id="785462400">
      <w:bodyDiv w:val="1"/>
      <w:marLeft w:val="0"/>
      <w:marRight w:val="0"/>
      <w:marTop w:val="0"/>
      <w:marBottom w:val="0"/>
      <w:divBdr>
        <w:top w:val="none" w:sz="0" w:space="0" w:color="auto"/>
        <w:left w:val="none" w:sz="0" w:space="0" w:color="auto"/>
        <w:bottom w:val="none" w:sz="0" w:space="0" w:color="auto"/>
        <w:right w:val="none" w:sz="0" w:space="0" w:color="auto"/>
      </w:divBdr>
      <w:divsChild>
        <w:div w:id="903686456">
          <w:marLeft w:val="0"/>
          <w:marRight w:val="0"/>
          <w:marTop w:val="0"/>
          <w:marBottom w:val="0"/>
          <w:divBdr>
            <w:top w:val="none" w:sz="0" w:space="0" w:color="auto"/>
            <w:left w:val="none" w:sz="0" w:space="0" w:color="auto"/>
            <w:bottom w:val="none" w:sz="0" w:space="0" w:color="auto"/>
            <w:right w:val="none" w:sz="0" w:space="0" w:color="auto"/>
          </w:divBdr>
        </w:div>
        <w:div w:id="1403289513">
          <w:marLeft w:val="0"/>
          <w:marRight w:val="0"/>
          <w:marTop w:val="0"/>
          <w:marBottom w:val="0"/>
          <w:divBdr>
            <w:top w:val="none" w:sz="0" w:space="0" w:color="auto"/>
            <w:left w:val="none" w:sz="0" w:space="0" w:color="auto"/>
            <w:bottom w:val="none" w:sz="0" w:space="0" w:color="auto"/>
            <w:right w:val="none" w:sz="0" w:space="0" w:color="auto"/>
          </w:divBdr>
        </w:div>
      </w:divsChild>
    </w:div>
    <w:div w:id="958990500">
      <w:bodyDiv w:val="1"/>
      <w:marLeft w:val="0"/>
      <w:marRight w:val="0"/>
      <w:marTop w:val="0"/>
      <w:marBottom w:val="0"/>
      <w:divBdr>
        <w:top w:val="none" w:sz="0" w:space="0" w:color="auto"/>
        <w:left w:val="none" w:sz="0" w:space="0" w:color="auto"/>
        <w:bottom w:val="none" w:sz="0" w:space="0" w:color="auto"/>
        <w:right w:val="none" w:sz="0" w:space="0" w:color="auto"/>
      </w:divBdr>
    </w:div>
    <w:div w:id="1031147007">
      <w:bodyDiv w:val="1"/>
      <w:marLeft w:val="0"/>
      <w:marRight w:val="0"/>
      <w:marTop w:val="0"/>
      <w:marBottom w:val="0"/>
      <w:divBdr>
        <w:top w:val="none" w:sz="0" w:space="0" w:color="auto"/>
        <w:left w:val="none" w:sz="0" w:space="0" w:color="auto"/>
        <w:bottom w:val="none" w:sz="0" w:space="0" w:color="auto"/>
        <w:right w:val="none" w:sz="0" w:space="0" w:color="auto"/>
      </w:divBdr>
      <w:divsChild>
        <w:div w:id="294063857">
          <w:marLeft w:val="0"/>
          <w:marRight w:val="0"/>
          <w:marTop w:val="0"/>
          <w:marBottom w:val="0"/>
          <w:divBdr>
            <w:top w:val="none" w:sz="0" w:space="0" w:color="auto"/>
            <w:left w:val="none" w:sz="0" w:space="0" w:color="auto"/>
            <w:bottom w:val="none" w:sz="0" w:space="0" w:color="auto"/>
            <w:right w:val="none" w:sz="0" w:space="0" w:color="auto"/>
          </w:divBdr>
        </w:div>
        <w:div w:id="1110246018">
          <w:marLeft w:val="0"/>
          <w:marRight w:val="0"/>
          <w:marTop w:val="0"/>
          <w:marBottom w:val="0"/>
          <w:divBdr>
            <w:top w:val="none" w:sz="0" w:space="0" w:color="auto"/>
            <w:left w:val="none" w:sz="0" w:space="0" w:color="auto"/>
            <w:bottom w:val="none" w:sz="0" w:space="0" w:color="auto"/>
            <w:right w:val="none" w:sz="0" w:space="0" w:color="auto"/>
          </w:divBdr>
        </w:div>
      </w:divsChild>
    </w:div>
    <w:div w:id="1167405363">
      <w:bodyDiv w:val="1"/>
      <w:marLeft w:val="0"/>
      <w:marRight w:val="0"/>
      <w:marTop w:val="0"/>
      <w:marBottom w:val="0"/>
      <w:divBdr>
        <w:top w:val="none" w:sz="0" w:space="0" w:color="auto"/>
        <w:left w:val="none" w:sz="0" w:space="0" w:color="auto"/>
        <w:bottom w:val="none" w:sz="0" w:space="0" w:color="auto"/>
        <w:right w:val="none" w:sz="0" w:space="0" w:color="auto"/>
      </w:divBdr>
      <w:divsChild>
        <w:div w:id="159541485">
          <w:marLeft w:val="0"/>
          <w:marRight w:val="0"/>
          <w:marTop w:val="0"/>
          <w:marBottom w:val="0"/>
          <w:divBdr>
            <w:top w:val="none" w:sz="0" w:space="0" w:color="auto"/>
            <w:left w:val="none" w:sz="0" w:space="0" w:color="auto"/>
            <w:bottom w:val="none" w:sz="0" w:space="0" w:color="auto"/>
            <w:right w:val="none" w:sz="0" w:space="0" w:color="auto"/>
          </w:divBdr>
        </w:div>
        <w:div w:id="1710302376">
          <w:marLeft w:val="0"/>
          <w:marRight w:val="0"/>
          <w:marTop w:val="0"/>
          <w:marBottom w:val="0"/>
          <w:divBdr>
            <w:top w:val="none" w:sz="0" w:space="0" w:color="auto"/>
            <w:left w:val="none" w:sz="0" w:space="0" w:color="auto"/>
            <w:bottom w:val="none" w:sz="0" w:space="0" w:color="auto"/>
            <w:right w:val="none" w:sz="0" w:space="0" w:color="auto"/>
          </w:divBdr>
        </w:div>
      </w:divsChild>
    </w:div>
    <w:div w:id="1501459429">
      <w:bodyDiv w:val="1"/>
      <w:marLeft w:val="0"/>
      <w:marRight w:val="0"/>
      <w:marTop w:val="0"/>
      <w:marBottom w:val="0"/>
      <w:divBdr>
        <w:top w:val="none" w:sz="0" w:space="0" w:color="auto"/>
        <w:left w:val="none" w:sz="0" w:space="0" w:color="auto"/>
        <w:bottom w:val="none" w:sz="0" w:space="0" w:color="auto"/>
        <w:right w:val="none" w:sz="0" w:space="0" w:color="auto"/>
      </w:divBdr>
    </w:div>
    <w:div w:id="2065449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metacognition" TargetMode="External"/><Relationship Id="rId18" Type="http://schemas.openxmlformats.org/officeDocument/2006/relationships/hyperlink" Target="https://d2tic4wvo1iusb.cloudfront.net/documents/guidance/Cognitive_science_approaches_in_the_classroom_-_A_review_of_the_evidence.pdf" TargetMode="External"/><Relationship Id="rId26" Type="http://schemas.openxmlformats.org/officeDocument/2006/relationships/hyperlink" Target="https://educationendowmentfoundation.org.uk/education-evidence/teaching-learning-toolkit/mentoring" TargetMode="External"/><Relationship Id="rId39" Type="http://schemas.openxmlformats.org/officeDocument/2006/relationships/hyperlink" Target="https://assets.publishing.service.gov.uk/government/uploads/system/uploads/attachment_data/file/1099677/Working_together_to_improve_school_attendance.pdf" TargetMode="External"/><Relationship Id="rId21" Type="http://schemas.openxmlformats.org/officeDocument/2006/relationships/hyperlink" Target="https://www.oup.com.cn/test/word-gap.pdf" TargetMode="External"/><Relationship Id="rId34" Type="http://schemas.openxmlformats.org/officeDocument/2006/relationships/hyperlink" Target="https://www.annafreud.org/media/12990/naht-coronavirus-wellbeing-proof-4-1.pdf" TargetMode="External"/><Relationship Id="rId42" Type="http://schemas.openxmlformats.org/officeDocument/2006/relationships/hyperlink" Target="https://www.nfer.ac.uk/publications/rsrn01/rsrn01.pdf" TargetMode="External"/><Relationship Id="rId47" Type="http://schemas.openxmlformats.org/officeDocument/2006/relationships/hyperlink" Target="https://educationendowmentfoundation.org.uk/education-evidence/teaching-learning-toolkit/parental-engagement" TargetMode="External"/><Relationship Id="rId50"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55" Type="http://schemas.openxmlformats.org/officeDocument/2006/relationships/hyperlink" Target="https://eur03.safelinks.protection.outlook.com/?url=https%3A%2F%2Fnaldic.org.uk%2F&amp;data=05%7C02%7CCathy.Johnston%40gaa.org.uk%7C0884696c83494fdfca7608dcd71e7134%7C7eb185b262f44e0abb5eb587b69ebbff%7C0%7C0%7C638621772958959999%7CUnknown%7CTWFpbGZsb3d8eyJWIjoiMC4wLjAwMDAiLCJQIjoiV2luMzIiLCJBTiI6Ik1haWwiLCJXVCI6Mn0%3D%7C0%7C%7C%7C&amp;sdata=WWDK4UA8FuvEWpRc86pQqBZBik3cmM03c39Jb7eJ%2B8Y%3D&amp;reserved=0" TargetMode="External"/><Relationship Id="rId7" Type="http://schemas.openxmlformats.org/officeDocument/2006/relationships/hyperlink" Target="https://educationendowmentfoundation.org.uk/supportfor-schools/school-improvement-planning/1-highquality-teaching" TargetMode="External"/><Relationship Id="rId2" Type="http://schemas.openxmlformats.org/officeDocument/2006/relationships/styles" Target="styles.xml"/><Relationship Id="rId16" Type="http://schemas.openxmlformats.org/officeDocument/2006/relationships/hyperlink" Target="https://www.gov.uk/government/publications/early-career-framework" TargetMode="External"/><Relationship Id="rId29" Type="http://schemas.openxmlformats.org/officeDocument/2006/relationships/hyperlink" Target="https://educationendowmentfoundation.org.uk/education-evidence/teaching-learning-toolkit/one-to-one-tuition" TargetMode="External"/><Relationship Id="rId11" Type="http://schemas.openxmlformats.org/officeDocument/2006/relationships/hyperlink" Target="https://d2tic4wvo1iusb.cloudfront.net/production/eef-guidance-reports/behaviour/EEF_Improving_behaviour_in_schools_Report.pdf?v=1702292849" TargetMode="External"/><Relationship Id="rId24" Type="http://schemas.openxmlformats.org/officeDocument/2006/relationships/hyperlink" Target="https://educationendowmentfoundation.org.uk/education-evidence/teaching-learning-toolkit/teaching-assistant-interventions" TargetMode="External"/><Relationship Id="rId32" Type="http://schemas.openxmlformats.org/officeDocument/2006/relationships/hyperlink" Target="https://educationendowmentfoundation.org.uk/education-evidence/teaching-learning-toolkit/one-to-one-tuition" TargetMode="External"/><Relationship Id="rId37" Type="http://schemas.openxmlformats.org/officeDocument/2006/relationships/hyperlink" Target="https://www.anchoredschools.com/" TargetMode="External"/><Relationship Id="rId40" Type="http://schemas.openxmlformats.org/officeDocument/2006/relationships/hyperlink" Target="https://educationendowmentfoundation.org.uk/education-evidence/teaching-learning-toolkit/social-and-emotional-learning" TargetMode="External"/><Relationship Id="rId45" Type="http://schemas.openxmlformats.org/officeDocument/2006/relationships/hyperlink" Target="https://educationendowmentfoundation.org.uk/evidence-summaries/teaching-learning-toolkit/small-group-tuition/" TargetMode="External"/><Relationship Id="rId53" Type="http://schemas.openxmlformats.org/officeDocument/2006/relationships/image" Target="media/image2.png"/><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educationendowmentfoundation.org.uk/education-evidence/guidance-reports/literacy-ks3-ks4" TargetMode="External"/><Relationship Id="rId14" Type="http://schemas.openxmlformats.org/officeDocument/2006/relationships/hyperlink" Target="https://d2tic4wvo1iusb.cloudfront.net/production/eef-guidance-reports/metacognition/Summary_of_recommendations_poster_2021-10-27-151056_qiiz_2021-10-29-074723_miux.pdf?v=1701147657" TargetMode="External"/><Relationship Id="rId22" Type="http://schemas.openxmlformats.org/officeDocument/2006/relationships/hyperlink" Target="https://d2tic4wvo1iusb.cloudfront.net/eef-guidance-reports/send/EEF_Special_Educational_Needs_in_Mainstream_Schools_Recommendations_Poster.pdf?v=1635355222" TargetMode="External"/><Relationship Id="rId27" Type="http://schemas.openxmlformats.org/officeDocument/2006/relationships/hyperlink" Target="https://d2tic4wvo1iusb.cloudfront.net/documents/guidance-for-teachers/pupil-premium/Pupil_Premium_Guide_Apr_2022_1.0.pdf?v=1650463957" TargetMode="External"/><Relationship Id="rId30" Type="http://schemas.openxmlformats.org/officeDocument/2006/relationships/hyperlink" Target="https://educationendowmentfoundation.org.uk/evidence-summaries/teaching-learning-toolkit/small-group-tuition/" TargetMode="External"/><Relationship Id="rId35" Type="http://schemas.openxmlformats.org/officeDocument/2006/relationships/hyperlink" Target="https://mentallyhealthyschools.org.uk/?utm_source=place2be.org.uk&amp;utm_medium=referral" TargetMode="External"/><Relationship Id="rId43" Type="http://schemas.openxmlformats.org/officeDocument/2006/relationships/hyperlink" Target="https://educationendowmentfoundation.org.uk/news/poorer-young-people-more-likely-to-have-career-aspirations-that-dont-match" TargetMode="External"/><Relationship Id="rId48" Type="http://schemas.openxmlformats.org/officeDocument/2006/relationships/hyperlink" Target="https://d2tic4wvo1iusb.cloudfront.net/documents/pages/Parental_Engagement_-_Evidence_from_Research_and_Practice.pdf?v=1631189626" TargetMode="External"/><Relationship Id="rId56" Type="http://schemas.openxmlformats.org/officeDocument/2006/relationships/hyperlink" Target="https://eur03.safelinks.protection.outlook.com/?url=https%3A%2F%2Fvle.mathswatch.co.uk%2Fvle%2F&amp;data=05%7C01%7CTheresa.James%40gaa.org.uk%7Cad526cd2c425430658ea08dbb91245cd%7C7eb185b262f44e0abb5eb587b69ebbff%7C0%7C0%7C638307260346129490%7CUnknown%7CTWFpbGZsb3d8eyJWIjoiMC4wLjAwMDAiLCJQIjoiV2luMzIiLCJBTiI6Ik1haWwiLCJXVCI6Mn0%3D%7C3000%7C%7C%7C&amp;sdata=MVpBPOEWtrlbv2UtIrT6m766lDWtLzhHhGZjd5JlOIo%3D&amp;reserved=0" TargetMode="External"/><Relationship Id="rId8" Type="http://schemas.openxmlformats.org/officeDocument/2006/relationships/hyperlink" Target="https://educationendowmentfoundation.org.uk/support-for-schools/school-planning-support/1-high-quality-teaching" TargetMode="External"/><Relationship Id="rId51" Type="http://schemas.openxmlformats.org/officeDocument/2006/relationships/hyperlink" Target="https://www.gov.uk/government/publications/the-service-pupil-premium/service-pupil-premium-examples-of-best-practice" TargetMode="External"/><Relationship Id="rId3" Type="http://schemas.openxmlformats.org/officeDocument/2006/relationships/settings" Target="settings.xml"/><Relationship Id="rId12" Type="http://schemas.openxmlformats.org/officeDocument/2006/relationships/hyperlink" Target="https://educationendowmentfoundation.org.uk/news/eef-blog-anchoring-curriculum-knowledge-using-metacognitive-strategies?utm_source=/news/eef-blog-anchoring-curriculum-knowledge-using-metacognitive-strategies&amp;utm_medium=search&amp;utm_campaign=site_search&amp;search_term=curriculum" TargetMode="External"/><Relationship Id="rId17" Type="http://schemas.openxmlformats.org/officeDocument/2006/relationships/hyperlink" Target="https://educationendowmentfoundation.org.uk/education-evidence/guidance-reports/effective-professional-development" TargetMode="External"/><Relationship Id="rId25" Type="http://schemas.openxmlformats.org/officeDocument/2006/relationships/hyperlink" Target="https://d2tic4wvo1iusb.cloudfront.net/documents/guidance-for-teachers/pupil-premium/Tiered_model_and_menu_of_approaches_1.0_pdf.pdf?v=1649418813" TargetMode="External"/><Relationship Id="rId33" Type="http://schemas.openxmlformats.org/officeDocument/2006/relationships/hyperlink" Target="https://educationendowmentfoundation.org.uk/evidence-summaries/teaching-learning-toolkit/small-group-tuition/" TargetMode="External"/><Relationship Id="rId38" Type="http://schemas.openxmlformats.org/officeDocument/2006/relationships/hyperlink" Target="https://www.gov.uk/government/publications/school-attendance/framework-for-securing-full-attendance-actions-for-schools-and-local-authorities" TargetMode="External"/><Relationship Id="rId46" Type="http://schemas.openxmlformats.org/officeDocument/2006/relationships/hyperlink" Target="https://d2tic4wvo1iusb.cloudfront.net/documents/guidance-for-teachers/pupil-premium/Tiered_model_and_menu_of_approaches_1.0_pdf.pdf?v=1649418813" TargetMode="External"/><Relationship Id="rId59" Type="http://schemas.openxmlformats.org/officeDocument/2006/relationships/footer" Target="footer1.xml"/><Relationship Id="rId20" Type="http://schemas.openxmlformats.org/officeDocument/2006/relationships/hyperlink" Target="https://educationendowmentfoundation.org.uk/guidance-for-teachers/literacy" TargetMode="External"/><Relationship Id="rId41" Type="http://schemas.openxmlformats.org/officeDocument/2006/relationships/hyperlink" Target="https://research.hud.ac.uk/institutes-centres/hudcres/projects/minehud/" TargetMode="External"/><Relationship Id="rId54" Type="http://schemas.openxmlformats.org/officeDocument/2006/relationships/hyperlink" Target="https://eur03.safelinks.protection.outlook.com/?url=http%3A%2F%2Fwww.bell-foundation.org.uk%2Fresources%2Fprogramme%2Feal-programme%2F&amp;data=05%7C02%7CCathy.Johnston%40gaa.org.uk%7C0884696c83494fdfca7608dcd71e7134%7C7eb185b262f44e0abb5eb587b69ebbff%7C0%7C0%7C638621772958951497%7CUnknown%7CTWFpbGZsb3d8eyJWIjoiMC4wLjAwMDAiLCJQIjoiV2luMzIiLCJBTiI6Ik1haWwiLCJXVCI6Mn0%3D%7C0%7C%7C%7C&amp;sdata=SKyYITXeH0vb5hEr4%2FKHCfzhHLTVxEvyAE4giaTvxk0%3D&amp;reserved=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satuk.co.uk/cpd/teaching-and-learning/embedding-formative-assessment/" TargetMode="External"/><Relationship Id="rId23" Type="http://schemas.openxmlformats.org/officeDocument/2006/relationships/hyperlink" Target="https://d2tic4wvo1iusb.cloudfront.net/eef-guidance-reports/send/Five-a-day-poster_1.1.pdf?v=1643188181" TargetMode="External"/><Relationship Id="rId28" Type="http://schemas.openxmlformats.org/officeDocument/2006/relationships/hyperlink" Target="https://educationendowmentfoundation.org.uk/guidance-for-teachers/mathematics" TargetMode="External"/><Relationship Id="rId36" Type="http://schemas.openxmlformats.org/officeDocument/2006/relationships/hyperlink" Target="https://www.gov.uk/government/publications/education-recovery-in-schools-spring-2022" TargetMode="External"/><Relationship Id="rId49" Type="http://schemas.openxmlformats.org/officeDocument/2006/relationships/hyperlink" Target="https://www.bell-foundation.org.uk/resources/guidance/classroom-guidance/effective-teaching-of-eal-learners/" TargetMode="External"/><Relationship Id="rId57" Type="http://schemas.openxmlformats.org/officeDocument/2006/relationships/hyperlink" Target="https://www.lbq.org/" TargetMode="External"/><Relationship Id="rId10" Type="http://schemas.openxmlformats.org/officeDocument/2006/relationships/hyperlink" Target="https://assets.publishing.service.gov.uk/media/651d42d86a6955001278b2af/Behaviour_in_schools_guidance.pdf" TargetMode="External"/><Relationship Id="rId31" Type="http://schemas.openxmlformats.org/officeDocument/2006/relationships/hyperlink" Target="https://www.gov.uk/government/publications/independent-review-of-tutoring-in-schools-and-16-to-19-providers/independent-review-of-tutoring-in-schools-phase-1-findings" TargetMode="External"/><Relationship Id="rId44" Type="http://schemas.openxmlformats.org/officeDocument/2006/relationships/hyperlink" Target="https://educationendowmentfoundation.org.uk/education-evidence/teaching-learning-toolkit/one-to-one-tuition" TargetMode="External"/><Relationship Id="rId52" Type="http://schemas.openxmlformats.org/officeDocument/2006/relationships/image" Target="media/image1.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collections/curriculum-research-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9604</Words>
  <Characters>54749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64225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R.Holroyd</cp:lastModifiedBy>
  <cp:revision>2</cp:revision>
  <cp:lastPrinted>2024-11-27T12:41:00Z</cp:lastPrinted>
  <dcterms:created xsi:type="dcterms:W3CDTF">2024-12-10T10:46:00Z</dcterms:created>
  <dcterms:modified xsi:type="dcterms:W3CDTF">2024-12-10T10:46:00Z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